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福建省莲花服装实业有限责任公司</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FJKZB-661042024</w:t>
      </w:r>
    </w:p>
    <w:p>
      <w:pPr>
        <w:pStyle w:val="11"/>
        <w:spacing w:line="640" w:lineRule="exact"/>
        <w:ind w:firstLine="1285" w:firstLineChars="4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直饮水一体机设备采购项目</w:t>
      </w:r>
    </w:p>
    <w:p>
      <w:pPr>
        <w:pStyle w:val="11"/>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福建省莲花服装实业有限责任公司</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4"/>
        <w:rPr>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月</w:t>
      </w:r>
    </w:p>
    <w:p>
      <w:pPr>
        <w:pStyle w:val="9"/>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福建省莲花服装实业有限责任公司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直饮水一体机设备采购项目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FJKZB-661042024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直饮水一体机设备采购项目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spacing w:line="360" w:lineRule="auto"/>
        <w:ind w:firstLine="480" w:firstLineChars="200"/>
        <w:rPr>
          <w:rFonts w:hint="eastAsia"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报名开始时间：2024年05月20日   16:00:00</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报名截止时间：2024年05月23日   16:30:00</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网上竞价开始时间：2024年05月24日   09:30:00</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网上竞价截止时间：2024年05月24日   11:30:00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bookmarkStart w:id="24" w:name="_GoBack"/>
      <w:bookmarkEnd w:id="24"/>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（若有）</w:t>
      </w:r>
      <w:r>
        <w:rPr>
          <w:rFonts w:hint="eastAsia" w:ascii="Times New Roman" w:hAnsi="Times New Roman"/>
          <w:color w:val="auto"/>
          <w:sz w:val="24"/>
          <w:highlight w:val="none"/>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3072</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成交</w:t>
      </w:r>
      <w:r>
        <w:rPr>
          <w:rFonts w:hint="eastAsia" w:ascii="宋体" w:hAnsi="宋体" w:cs="宋体"/>
          <w:color w:val="auto"/>
          <w:sz w:val="24"/>
          <w:highlight w:val="none"/>
        </w:rPr>
        <w:t>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福建省莲花服装实业有限责任公司</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r>
        <w:rPr>
          <w:rFonts w:hint="eastAsia" w:asciiTheme="minorEastAsia" w:hAnsiTheme="minorEastAsia" w:eastAsiaTheme="minorEastAsia" w:cstheme="minorEastAsia"/>
          <w:sz w:val="24"/>
          <w:highlight w:val="none"/>
        </w:rPr>
        <w:t>　</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系人及电话：朱女士、0591-23506021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田雪丽、欧文浩、陈一凡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pPr>
        <w:spacing w:line="360" w:lineRule="auto"/>
        <w:ind w:left="480"/>
        <w:rPr>
          <w:rFonts w:hint="eastAsia" w:ascii="宋体" w:hAnsi="宋体" w:eastAsia="宋体"/>
          <w:color w:val="auto"/>
          <w:sz w:val="24"/>
          <w:highlight w:val="none"/>
          <w:lang w:eastAsia="zh-CN"/>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4"/>
          <w:rFonts w:ascii="宋体" w:hAnsi="宋体" w:cs="宋体"/>
          <w:color w:val="auto"/>
          <w:sz w:val="24"/>
          <w:highlight w:val="none"/>
        </w:rPr>
        <w:t>http://121.42.9.114:8083/</w:t>
      </w:r>
      <w:r>
        <w:rPr>
          <w:rStyle w:val="24"/>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color w:val="auto"/>
          <w:kern w:val="0"/>
          <w:sz w:val="24"/>
          <w:highlight w:val="none"/>
          <w:u w:val="single"/>
        </w:rPr>
        <w:fldChar w:fldCharType="begin"/>
      </w:r>
      <w:r>
        <w:rPr>
          <w:rStyle w:val="30"/>
          <w:rFonts w:hint="eastAsia" w:ascii="宋体" w:hAnsi="宋体" w:cs="宋体"/>
          <w:color w:val="auto"/>
          <w:kern w:val="0"/>
          <w:sz w:val="24"/>
          <w:highlight w:val="none"/>
          <w:u w:val="single"/>
        </w:rPr>
        <w:instrText xml:space="preserve"> HYPERLINK "https://www.jiankunzx.com/yewuliucheng/1503.html" </w:instrText>
      </w:r>
      <w:r>
        <w:rPr>
          <w:rStyle w:val="30"/>
          <w:rFonts w:hint="eastAsia" w:ascii="宋体" w:hAnsi="宋体" w:cs="宋体"/>
          <w:color w:val="auto"/>
          <w:kern w:val="0"/>
          <w:sz w:val="24"/>
          <w:highlight w:val="none"/>
          <w:u w:val="single"/>
        </w:rPr>
        <w:fldChar w:fldCharType="separate"/>
      </w:r>
      <w:r>
        <w:rPr>
          <w:rStyle w:val="30"/>
          <w:rFonts w:hint="eastAsia" w:ascii="宋体" w:hAnsi="宋体" w:cs="宋体"/>
          <w:color w:val="auto"/>
          <w:kern w:val="0"/>
          <w:sz w:val="24"/>
          <w:highlight w:val="none"/>
          <w:u w:val="single"/>
        </w:rPr>
        <w:t>https://www.jiankunzx.com/yewuliucheng/1503.html</w:t>
      </w:r>
      <w:r>
        <w:rPr>
          <w:rStyle w:val="30"/>
          <w:rFonts w:hint="eastAsia" w:ascii="宋体" w:hAnsi="宋体" w:cs="宋体"/>
          <w:color w:val="auto"/>
          <w:kern w:val="0"/>
          <w:sz w:val="24"/>
          <w:highlight w:val="none"/>
          <w:u w:val="single"/>
        </w:rPr>
        <w:fldChar w:fldCharType="end"/>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6"/>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4"/>
        <w:spacing w:line="360" w:lineRule="auto"/>
        <w:rPr>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8016816"/>
      <w:bookmarkStart w:id="2" w:name="_Toc359317661"/>
      <w:bookmarkStart w:id="3" w:name="_Toc330567034"/>
      <w:bookmarkStart w:id="4" w:name="_Toc327948617"/>
      <w:bookmarkStart w:id="5" w:name="_Toc346300367"/>
      <w:bookmarkStart w:id="6" w:name="_Toc347060296"/>
      <w:r>
        <w:rPr>
          <w:rFonts w:hint="eastAsia" w:ascii="宋体" w:hAnsi="宋体" w:cs="宋体"/>
          <w:b/>
          <w:color w:val="auto"/>
          <w:sz w:val="24"/>
          <w:highlight w:val="none"/>
        </w:rPr>
        <w:t>一、项目概述</w:t>
      </w:r>
      <w:bookmarkEnd w:id="1"/>
      <w:bookmarkEnd w:id="2"/>
    </w:p>
    <w:p>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56"/>
        <w:gridCol w:w="2475"/>
        <w:gridCol w:w="914"/>
        <w:gridCol w:w="1111"/>
        <w:gridCol w:w="17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3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4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929" w:type="pct"/>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b/>
                <w:bCs/>
                <w:color w:val="auto"/>
                <w:kern w:val="0"/>
                <w:sz w:val="24"/>
                <w:szCs w:val="22"/>
                <w:highlight w:val="none"/>
              </w:rPr>
            </w:pPr>
            <w:r>
              <w:rPr>
                <w:rFonts w:hint="eastAsia" w:hAnsi="宋体" w:cs="宋体"/>
                <w:b/>
                <w:color w:val="auto"/>
                <w:sz w:val="24"/>
                <w:highlight w:val="none"/>
              </w:rPr>
              <w:t>单价最高限价</w:t>
            </w:r>
          </w:p>
        </w:tc>
        <w:tc>
          <w:tcPr>
            <w:tcW w:w="99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4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133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直饮水一体机</w:t>
            </w:r>
          </w:p>
        </w:tc>
        <w:tc>
          <w:tcPr>
            <w:tcW w:w="49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24台</w:t>
            </w:r>
          </w:p>
        </w:tc>
        <w:tc>
          <w:tcPr>
            <w:tcW w:w="598"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12800</w:t>
            </w:r>
          </w:p>
        </w:tc>
        <w:tc>
          <w:tcPr>
            <w:tcW w:w="992" w:type="pc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307200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479"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叁拾万零柒仟贰佰</w:t>
            </w:r>
            <w:r>
              <w:rPr>
                <w:rFonts w:hint="eastAsia" w:ascii="宋体" w:hAnsi="宋体"/>
                <w:color w:val="auto"/>
                <w:kern w:val="0"/>
                <w:sz w:val="24"/>
                <w:highlight w:val="none"/>
              </w:rPr>
              <w:t>元</w:t>
            </w:r>
          </w:p>
        </w:tc>
        <w:tc>
          <w:tcPr>
            <w:tcW w:w="252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¥307200</w:t>
            </w:r>
            <w:r>
              <w:rPr>
                <w:rFonts w:hint="eastAsia" w:ascii="宋体" w:hAnsi="宋体" w:cs="新宋体"/>
                <w:color w:val="auto"/>
                <w:kern w:val="0"/>
                <w:sz w:val="24"/>
                <w:highlight w:val="none"/>
              </w:rPr>
              <w:t xml:space="preserve">.00  </w:t>
            </w:r>
          </w:p>
        </w:tc>
      </w:tr>
    </w:tbl>
    <w:p>
      <w:pPr>
        <w:pStyle w:val="3"/>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3"/>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直饮水一体机设备采购项目</w:t>
      </w:r>
      <w:r>
        <w:rPr>
          <w:rFonts w:hint="eastAsia" w:cs="宋体"/>
          <w:b w:val="0"/>
          <w:bCs/>
          <w:color w:val="auto"/>
          <w:sz w:val="24"/>
          <w:highlight w:val="none"/>
        </w:rPr>
        <w:t>，预算金额</w:t>
      </w:r>
      <w:r>
        <w:rPr>
          <w:rFonts w:hint="eastAsia" w:cs="宋体"/>
          <w:b w:val="0"/>
          <w:bCs/>
          <w:color w:val="auto"/>
          <w:sz w:val="24"/>
          <w:highlight w:val="none"/>
          <w:lang w:val="en-US" w:eastAsia="zh-CN"/>
        </w:rPr>
        <w:t>30.72万</w:t>
      </w:r>
      <w:r>
        <w:rPr>
          <w:rFonts w:hint="eastAsia" w:cs="宋体"/>
          <w:b w:val="0"/>
          <w:bCs/>
          <w:color w:val="auto"/>
          <w:sz w:val="24"/>
          <w:highlight w:val="none"/>
        </w:rPr>
        <w:t>元。要求供应商根据本网上竞价文件提出的技术要求对所需货物及技术服务等进行报价。</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pPr>
        <w:spacing w:line="360" w:lineRule="auto"/>
        <w:rPr>
          <w:rFonts w:hint="eastAsia"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
        </w:rPr>
        <w:t>1、内胆总容量≥60L</w:t>
      </w:r>
      <w:r>
        <w:rPr>
          <w:rFonts w:hint="eastAsia" w:ascii="宋体" w:hAnsi="宋体" w:eastAsia="宋体" w:cs="宋体"/>
          <w:b w:val="0"/>
          <w:bCs w:val="0"/>
          <w:color w:val="auto"/>
          <w:kern w:val="0"/>
          <w:sz w:val="24"/>
          <w:szCs w:val="24"/>
          <w:highlight w:val="none"/>
          <w:lang w:val="en-US" w:eastAsia="zh-CN" w:bidi="ar-SA"/>
        </w:rPr>
        <w:t>（加热内胆≥20L，无菌恒温内胆≥40L)。</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SA"/>
        </w:rPr>
        <w:t>2、额定功率：≥4.5KW，额定电压：380V-50Hz。</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3、四个出水咀，一开三温（</w:t>
      </w:r>
      <w:r>
        <w:rPr>
          <w:rFonts w:hint="eastAsia" w:ascii="宋体" w:hAnsi="宋体" w:eastAsia="宋体" w:cs="宋体"/>
          <w:b w:val="0"/>
          <w:bCs w:val="0"/>
          <w:color w:val="auto"/>
          <w:sz w:val="24"/>
          <w:szCs w:val="24"/>
          <w:highlight w:val="none"/>
          <w:lang w:val="en-US" w:eastAsia="zh-CN" w:bidi="ar"/>
        </w:rPr>
        <w:t>开水供水量</w:t>
      </w:r>
      <w:r>
        <w:rPr>
          <w:rFonts w:hint="eastAsia" w:ascii="宋体" w:hAnsi="宋体" w:eastAsia="宋体" w:cs="宋体"/>
          <w:b w:val="0"/>
          <w:bCs w:val="0"/>
          <w:color w:val="auto"/>
          <w:kern w:val="0"/>
          <w:sz w:val="24"/>
          <w:szCs w:val="24"/>
          <w:highlight w:val="none"/>
          <w:lang w:eastAsia="zh-CN" w:bidi="ar-SA"/>
        </w:rPr>
        <w:t>≥</w:t>
      </w:r>
      <w:r>
        <w:rPr>
          <w:rFonts w:hint="eastAsia" w:ascii="宋体" w:hAnsi="宋体" w:eastAsia="宋体" w:cs="宋体"/>
          <w:b w:val="0"/>
          <w:bCs w:val="0"/>
          <w:color w:val="auto"/>
          <w:kern w:val="0"/>
          <w:sz w:val="24"/>
          <w:szCs w:val="24"/>
          <w:highlight w:val="none"/>
          <w:lang w:val="en-US" w:eastAsia="zh-CN" w:bidi="ar-SA"/>
        </w:rPr>
        <w:t>50L/H，</w:t>
      </w:r>
      <w:r>
        <w:rPr>
          <w:rFonts w:hint="eastAsia" w:ascii="宋体" w:hAnsi="宋体" w:eastAsia="宋体" w:cs="宋体"/>
          <w:b w:val="0"/>
          <w:bCs w:val="0"/>
          <w:color w:val="auto"/>
          <w:kern w:val="0"/>
          <w:sz w:val="24"/>
          <w:szCs w:val="24"/>
          <w:highlight w:val="none"/>
          <w:lang w:bidi="ar-SA"/>
        </w:rPr>
        <w:t>温</w:t>
      </w:r>
      <w:r>
        <w:rPr>
          <w:rFonts w:hint="eastAsia" w:ascii="宋体" w:hAnsi="宋体" w:eastAsia="宋体" w:cs="宋体"/>
          <w:b w:val="0"/>
          <w:bCs w:val="0"/>
          <w:color w:val="auto"/>
          <w:kern w:val="0"/>
          <w:sz w:val="24"/>
          <w:szCs w:val="24"/>
          <w:highlight w:val="none"/>
          <w:lang w:eastAsia="zh-CN" w:bidi="ar-SA"/>
        </w:rPr>
        <w:t>开</w:t>
      </w:r>
      <w:r>
        <w:rPr>
          <w:rFonts w:hint="eastAsia" w:ascii="宋体" w:hAnsi="宋体" w:eastAsia="宋体" w:cs="宋体"/>
          <w:b w:val="0"/>
          <w:bCs w:val="0"/>
          <w:color w:val="auto"/>
          <w:kern w:val="0"/>
          <w:sz w:val="24"/>
          <w:szCs w:val="24"/>
          <w:highlight w:val="none"/>
          <w:lang w:bidi="ar-SA"/>
        </w:rPr>
        <w:t>水供</w:t>
      </w:r>
      <w:r>
        <w:rPr>
          <w:rFonts w:hint="eastAsia" w:ascii="宋体" w:hAnsi="宋体" w:eastAsia="宋体" w:cs="宋体"/>
          <w:b w:val="0"/>
          <w:bCs w:val="0"/>
          <w:color w:val="auto"/>
          <w:kern w:val="0"/>
          <w:sz w:val="24"/>
          <w:szCs w:val="24"/>
          <w:highlight w:val="none"/>
          <w:lang w:eastAsia="zh-CN" w:bidi="ar-SA"/>
        </w:rPr>
        <w:t>水</w:t>
      </w:r>
      <w:r>
        <w:rPr>
          <w:rFonts w:hint="eastAsia" w:ascii="宋体" w:hAnsi="宋体" w:eastAsia="宋体" w:cs="宋体"/>
          <w:b w:val="0"/>
          <w:bCs w:val="0"/>
          <w:color w:val="auto"/>
          <w:kern w:val="0"/>
          <w:sz w:val="24"/>
          <w:szCs w:val="24"/>
          <w:highlight w:val="none"/>
          <w:lang w:bidi="ar-SA"/>
        </w:rPr>
        <w:t>量</w:t>
      </w:r>
      <w:r>
        <w:rPr>
          <w:rFonts w:hint="eastAsia" w:ascii="宋体" w:hAnsi="宋体" w:eastAsia="宋体" w:cs="宋体"/>
          <w:b w:val="0"/>
          <w:bCs w:val="0"/>
          <w:color w:val="auto"/>
          <w:kern w:val="0"/>
          <w:sz w:val="24"/>
          <w:szCs w:val="24"/>
          <w:highlight w:val="none"/>
          <w:lang w:eastAsia="zh-CN" w:bidi="ar-SA"/>
        </w:rPr>
        <w:t>≥</w:t>
      </w:r>
      <w:r>
        <w:rPr>
          <w:rFonts w:hint="eastAsia" w:ascii="宋体" w:hAnsi="宋体" w:eastAsia="宋体" w:cs="宋体"/>
          <w:b w:val="0"/>
          <w:bCs w:val="0"/>
          <w:color w:val="auto"/>
          <w:kern w:val="0"/>
          <w:sz w:val="24"/>
          <w:szCs w:val="24"/>
          <w:highlight w:val="none"/>
          <w:lang w:val="en-US" w:eastAsia="zh-CN" w:bidi="ar-SA"/>
        </w:rPr>
        <w:t>180</w:t>
      </w:r>
      <w:r>
        <w:rPr>
          <w:rFonts w:hint="eastAsia" w:ascii="宋体" w:hAnsi="宋体" w:eastAsia="宋体" w:cs="宋体"/>
          <w:b w:val="0"/>
          <w:bCs w:val="0"/>
          <w:color w:val="auto"/>
          <w:kern w:val="0"/>
          <w:sz w:val="24"/>
          <w:szCs w:val="24"/>
          <w:highlight w:val="none"/>
          <w:lang w:bidi="ar-SA"/>
        </w:rPr>
        <w:t>L/H</w:t>
      </w:r>
      <w:r>
        <w:rPr>
          <w:rFonts w:hint="eastAsia" w:ascii="宋体" w:hAnsi="宋体" w:eastAsia="宋体" w:cs="宋体"/>
          <w:b w:val="0"/>
          <w:bCs w:val="0"/>
          <w:color w:val="auto"/>
          <w:kern w:val="2"/>
          <w:sz w:val="24"/>
          <w:szCs w:val="24"/>
          <w:highlight w:val="none"/>
          <w:lang w:val="en-US" w:eastAsia="zh-CN" w:bidi="ar"/>
        </w:rPr>
        <w:t>），开水龙头带机械锁。</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水嘴与水槽防溅板的高度为</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0mm(</w:t>
      </w:r>
      <w:r>
        <w:rPr>
          <w:rFonts w:hint="eastAsia" w:ascii="宋体" w:hAnsi="宋体" w:eastAsia="宋体" w:cs="宋体"/>
          <w:color w:val="auto"/>
          <w:sz w:val="24"/>
          <w:szCs w:val="24"/>
          <w:highlight w:val="none"/>
          <w:lang w:eastAsia="zh-CN"/>
        </w:rPr>
        <w:t>允许偏离</w:t>
      </w:r>
      <w:r>
        <w:rPr>
          <w:rFonts w:hint="eastAsia" w:ascii="宋体" w:hAnsi="宋体" w:eastAsia="宋体" w:cs="宋体"/>
          <w:color w:val="auto"/>
          <w:sz w:val="24"/>
          <w:szCs w:val="24"/>
          <w:highlight w:val="none"/>
        </w:rPr>
        <w:t>±20mm)，龙头间距300mm(</w:t>
      </w:r>
      <w:r>
        <w:rPr>
          <w:rFonts w:hint="eastAsia" w:ascii="宋体" w:hAnsi="宋体" w:eastAsia="宋体" w:cs="宋体"/>
          <w:color w:val="auto"/>
          <w:sz w:val="24"/>
          <w:szCs w:val="24"/>
          <w:highlight w:val="none"/>
          <w:lang w:eastAsia="zh-CN"/>
        </w:rPr>
        <w:t>允许偏离</w:t>
      </w:r>
      <w:r>
        <w:rPr>
          <w:rFonts w:hint="eastAsia" w:ascii="宋体" w:hAnsi="宋体" w:eastAsia="宋体" w:cs="宋体"/>
          <w:color w:val="auto"/>
          <w:sz w:val="24"/>
          <w:szCs w:val="24"/>
          <w:highlight w:val="none"/>
        </w:rPr>
        <w:t>±20mm)；</w:t>
      </w:r>
      <w:r>
        <w:rPr>
          <w:rFonts w:hint="eastAsia" w:ascii="宋体" w:hAnsi="宋体" w:eastAsia="宋体" w:cs="宋体"/>
          <w:color w:val="auto"/>
          <w:sz w:val="24"/>
          <w:szCs w:val="24"/>
          <w:highlight w:val="none"/>
          <w:lang w:eastAsia="zh-CN"/>
        </w:rPr>
        <w:t>避免接水时水往外溅。</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bidi="ar"/>
        </w:rPr>
        <w:t>5、外观尺寸：</w:t>
      </w:r>
      <w:r>
        <w:rPr>
          <w:rFonts w:hint="eastAsia" w:ascii="宋体" w:hAnsi="宋体" w:eastAsia="宋体" w:cs="宋体"/>
          <w:b w:val="0"/>
          <w:bCs w:val="0"/>
          <w:color w:val="auto"/>
          <w:kern w:val="0"/>
          <w:sz w:val="24"/>
          <w:szCs w:val="24"/>
          <w:highlight w:val="none"/>
          <w:lang w:val="en-US" w:eastAsia="zh-CN" w:bidi="ar-SA"/>
        </w:rPr>
        <w:t>长*宽*高=1200mm（</w:t>
      </w:r>
      <w:r>
        <w:rPr>
          <w:rFonts w:hint="eastAsia" w:ascii="宋体" w:hAnsi="宋体" w:eastAsia="宋体" w:cs="宋体"/>
          <w:b w:val="0"/>
          <w:bCs w:val="0"/>
          <w:sz w:val="24"/>
          <w:szCs w:val="24"/>
          <w:highlight w:val="none"/>
          <w:lang w:val="en-US" w:eastAsia="zh-CN"/>
        </w:rPr>
        <w:t>场地受限</w:t>
      </w:r>
      <w:r>
        <w:rPr>
          <w:rFonts w:hint="eastAsia" w:ascii="宋体" w:hAnsi="宋体" w:cs="宋体"/>
          <w:b w:val="0"/>
          <w:bCs w:val="0"/>
          <w:sz w:val="24"/>
          <w:szCs w:val="24"/>
          <w:highlight w:val="none"/>
          <w:lang w:val="en-US" w:eastAsia="zh-CN"/>
        </w:rPr>
        <w:t>,此项尺寸不</w:t>
      </w:r>
      <w:r>
        <w:rPr>
          <w:rFonts w:hint="eastAsia" w:ascii="宋体" w:hAnsi="宋体" w:eastAsia="宋体" w:cs="宋体"/>
          <w:color w:val="auto"/>
          <w:sz w:val="24"/>
          <w:szCs w:val="24"/>
          <w:highlight w:val="none"/>
          <w:lang w:eastAsia="zh-CN"/>
        </w:rPr>
        <w:t>允许偏离</w:t>
      </w:r>
      <w:r>
        <w:rPr>
          <w:rFonts w:hint="eastAsia" w:ascii="宋体" w:hAnsi="宋体" w:eastAsia="宋体" w:cs="宋体"/>
          <w:b w:val="0"/>
          <w:bCs w:val="0"/>
          <w:color w:val="auto"/>
          <w:kern w:val="0"/>
          <w:sz w:val="24"/>
          <w:szCs w:val="24"/>
          <w:highlight w:val="none"/>
          <w:lang w:val="en-US" w:eastAsia="zh-CN" w:bidi="ar-SA"/>
        </w:rPr>
        <w:t>）*470mm（</w:t>
      </w:r>
      <w:r>
        <w:rPr>
          <w:rFonts w:hint="eastAsia" w:ascii="宋体" w:hAnsi="宋体" w:eastAsia="宋体" w:cs="宋体"/>
          <w:color w:val="auto"/>
          <w:sz w:val="24"/>
          <w:szCs w:val="24"/>
          <w:highlight w:val="none"/>
          <w:lang w:eastAsia="zh-CN"/>
        </w:rPr>
        <w:t>允许偏离</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20mm</w:t>
      </w:r>
      <w:r>
        <w:rPr>
          <w:rFonts w:hint="eastAsia" w:ascii="宋体" w:hAnsi="宋体" w:eastAsia="宋体" w:cs="宋体"/>
          <w:b w:val="0"/>
          <w:bCs w:val="0"/>
          <w:color w:val="auto"/>
          <w:kern w:val="0"/>
          <w:sz w:val="24"/>
          <w:szCs w:val="24"/>
          <w:highlight w:val="none"/>
          <w:lang w:val="en-US" w:eastAsia="zh-CN" w:bidi="ar-SA"/>
        </w:rPr>
        <w:t>）*1440mm（</w:t>
      </w:r>
      <w:r>
        <w:rPr>
          <w:rFonts w:hint="eastAsia" w:ascii="宋体" w:hAnsi="宋体" w:eastAsia="宋体" w:cs="宋体"/>
          <w:color w:val="auto"/>
          <w:sz w:val="24"/>
          <w:szCs w:val="24"/>
          <w:highlight w:val="none"/>
          <w:lang w:eastAsia="zh-CN"/>
        </w:rPr>
        <w:t>允许偏离</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20mm</w:t>
      </w:r>
      <w:r>
        <w:rPr>
          <w:rFonts w:hint="eastAsia" w:ascii="宋体" w:hAnsi="宋体" w:eastAsia="宋体" w:cs="宋体"/>
          <w:b w:val="0"/>
          <w:bCs w:val="0"/>
          <w:color w:val="auto"/>
          <w:kern w:val="0"/>
          <w:sz w:val="24"/>
          <w:szCs w:val="24"/>
          <w:highlight w:val="none"/>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6、过滤配置：三级过滤（1umPP棉滤芯+10um炭棒滤芯+颗粒活性炭滤芯），净水流量≥8L/min，额定净水总量≥10m³，</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kern w:val="0"/>
          <w:sz w:val="24"/>
          <w:szCs w:val="24"/>
          <w:highlight w:val="none"/>
          <w:lang w:val="en-US" w:eastAsia="zh-CN" w:bidi="ar-SA"/>
        </w:rPr>
        <w:t>提供所投产品对应型号一致的整机涉及饮用水卫生安全产品卫生许可批件（含附件）复印件</w:t>
      </w:r>
      <w:r>
        <w:rPr>
          <w:rFonts w:hint="eastAsia" w:ascii="宋体" w:hAnsi="宋体" w:cs="宋体"/>
          <w:b/>
          <w:bCs/>
          <w:color w:val="auto"/>
          <w:kern w:val="0"/>
          <w:sz w:val="24"/>
          <w:szCs w:val="24"/>
          <w:highlight w:val="none"/>
          <w:lang w:val="en-US" w:eastAsia="zh-CN" w:bidi="ar-SA"/>
        </w:rPr>
        <w:t>，</w:t>
      </w:r>
      <w:r>
        <w:rPr>
          <w:rFonts w:hint="eastAsia" w:ascii="宋体" w:hAnsi="宋体" w:eastAsia="宋体" w:cs="宋体"/>
          <w:b/>
          <w:bCs/>
          <w:color w:val="auto"/>
          <w:kern w:val="0"/>
          <w:sz w:val="24"/>
          <w:szCs w:val="24"/>
          <w:highlight w:val="none"/>
          <w:lang w:eastAsia="zh-CN" w:bidi="ar"/>
        </w:rPr>
        <w:t>未提供或提供不齐全的按无效响应处理</w:t>
      </w:r>
      <w:r>
        <w:rPr>
          <w:rFonts w:hint="eastAsia" w:ascii="宋体" w:hAnsi="宋体" w:eastAsia="宋体" w:cs="宋体"/>
          <w:b w:val="0"/>
          <w:bCs w:val="0"/>
          <w:color w:val="auto"/>
          <w:kern w:val="0"/>
          <w:sz w:val="24"/>
          <w:szCs w:val="24"/>
          <w:highlight w:val="none"/>
          <w:lang w:val="en-US" w:eastAsia="zh-CN" w:bidi="ar-SA"/>
        </w:rPr>
        <w:t>。</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7、产品控制电路部分采用≤24V低压电源控制；防触电I类、防护等级≥IP44。</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8、出水控制：采用触摸式按键开关控制出水。</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9、箱体采用不锈钢防指纹砂板或黑钛板，整机钣金表面光滑不伤手；箱体外观转角为圆弧设计、无棱边和尖角，以防撞伤；</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10、涉水水槽采用304不锈钢材质，水槽带接水盘，接水盘带有防溅设计（防溅水烫伤、防漏渣堵塞）。</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11、内胆采用304或316不锈钢材质</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kern w:val="0"/>
          <w:sz w:val="24"/>
          <w:szCs w:val="24"/>
          <w:highlight w:val="none"/>
          <w:lang w:val="en-US" w:eastAsia="zh-CN" w:bidi="ar-SA"/>
        </w:rPr>
        <w:t>提供所投产品对应品牌内胆食品接触产品安全认证证书复印件，该证书在国家市场监督管理总局全国认证认可信息公共服务平台可查询，并提供带网址的查询截图，</w:t>
      </w:r>
      <w:r>
        <w:rPr>
          <w:rFonts w:hint="eastAsia" w:ascii="宋体" w:hAnsi="宋体" w:eastAsia="宋体" w:cs="宋体"/>
          <w:b/>
          <w:bCs/>
          <w:color w:val="auto"/>
          <w:kern w:val="0"/>
          <w:sz w:val="24"/>
          <w:szCs w:val="24"/>
          <w:highlight w:val="none"/>
          <w:lang w:eastAsia="zh-CN" w:bidi="ar"/>
        </w:rPr>
        <w:t>未提供或提供不齐全的按无效响应处理</w:t>
      </w:r>
      <w:r>
        <w:rPr>
          <w:rFonts w:hint="eastAsia" w:ascii="宋体" w:hAnsi="宋体" w:eastAsia="宋体" w:cs="宋体"/>
          <w:b/>
          <w:bCs/>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12、炭棒滤芯、颗粒活性炭滤芯、滤壳(滤筒)、加热管、内胆、波纹管、热交换器等核心涉水部件均需符合省级涉及饮用水卫生安全产品卫生许可批件要求，</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kern w:val="0"/>
          <w:sz w:val="24"/>
          <w:szCs w:val="24"/>
          <w:highlight w:val="none"/>
          <w:lang w:val="en-US" w:eastAsia="zh-CN" w:bidi="ar-SA"/>
        </w:rPr>
        <w:t>提供以上核心涉水部件的卫生许可批件复印件，核心涉水部件的卫生许可批件与所投产品品牌对应一致，</w:t>
      </w:r>
      <w:r>
        <w:rPr>
          <w:rFonts w:hint="eastAsia" w:ascii="宋体" w:hAnsi="宋体" w:eastAsia="宋体" w:cs="宋体"/>
          <w:b/>
          <w:bCs/>
          <w:color w:val="auto"/>
          <w:kern w:val="0"/>
          <w:sz w:val="24"/>
          <w:szCs w:val="24"/>
          <w:highlight w:val="none"/>
          <w:lang w:eastAsia="zh-CN" w:bidi="ar"/>
        </w:rPr>
        <w:t>未提供或提供不齐全的按无效响应处理</w:t>
      </w:r>
      <w:r>
        <w:rPr>
          <w:rFonts w:hint="eastAsia" w:ascii="宋体" w:hAnsi="宋体" w:eastAsia="宋体" w:cs="宋体"/>
          <w:b/>
          <w:bCs/>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13、PP棉滤芯、净水机滤壳通过红外、差热、热重的检测，</w:t>
      </w:r>
      <w:r>
        <w:rPr>
          <w:rFonts w:hint="eastAsia" w:ascii="宋体" w:hAnsi="宋体" w:eastAsia="宋体" w:cs="宋体"/>
          <w:b/>
          <w:bCs/>
          <w:color w:val="auto"/>
          <w:sz w:val="24"/>
          <w:szCs w:val="24"/>
          <w:highlight w:val="none"/>
          <w:vertAlign w:val="baseline"/>
          <w:lang w:eastAsia="zh-CN"/>
        </w:rPr>
        <w:t>供应商需在响应文件中提供具有CMA资质的第三方检测机构出具的带CMA标志的检测报告复印件，未提供的按无效响应处理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釆用微电脑智能控制技术，带有时间调控功能，可根据作息时间定时开机和关机，且故障自动诊断并能显示相应的故障代码或文字提示；显示屏为5寸～6寸数码显示屏，可显示开水温度、滤芯使用情况、水位状态、可饮用状态、以及滤芯更换提醒等功能。</w:t>
      </w:r>
      <w:r>
        <w:rPr>
          <w:rFonts w:hint="eastAsia" w:ascii="宋体" w:hAnsi="宋体" w:eastAsia="宋体" w:cs="宋体"/>
          <w:b/>
          <w:bCs/>
          <w:color w:val="auto"/>
          <w:sz w:val="24"/>
          <w:szCs w:val="24"/>
          <w:highlight w:val="none"/>
          <w:vertAlign w:val="baseline"/>
          <w:lang w:eastAsia="zh-CN"/>
        </w:rPr>
        <w:t>供应商需在响应文件中提供具有CMA资质的第三方检测机构出具的带CMA标志的检测报告复印件，未提供的按无效响应处理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15、带有滤芯防伪识别功能，确保所用滤芯为原厂出厂滤芯，安装或更换滤芯时，可对滤芯进行防伪识别。</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16、加热内胆采用步进式加热技术，层层加热，防止产生“千沸水”，</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sz w:val="24"/>
          <w:szCs w:val="24"/>
          <w:highlight w:val="none"/>
          <w:vertAlign w:val="baseline"/>
        </w:rPr>
        <w:t>提供</w:t>
      </w:r>
      <w:r>
        <w:rPr>
          <w:rFonts w:hint="eastAsia" w:ascii="宋体" w:hAnsi="宋体" w:eastAsia="宋体" w:cs="宋体"/>
          <w:b/>
          <w:bCs/>
          <w:color w:val="auto"/>
          <w:kern w:val="0"/>
          <w:sz w:val="24"/>
          <w:szCs w:val="24"/>
          <w:highlight w:val="none"/>
          <w:lang w:bidi="ar"/>
        </w:rPr>
        <w:t>有CMA资质的第三方检测机构出具的带CMA标志的检测报告复印件</w:t>
      </w:r>
      <w:r>
        <w:rPr>
          <w:rFonts w:hint="eastAsia" w:ascii="宋体" w:hAnsi="宋体" w:eastAsia="宋体" w:cs="宋体"/>
          <w:b/>
          <w:bCs/>
          <w:color w:val="auto"/>
          <w:kern w:val="0"/>
          <w:sz w:val="24"/>
          <w:szCs w:val="24"/>
          <w:highlight w:val="none"/>
          <w:lang w:eastAsia="zh-CN" w:bidi="ar"/>
        </w:rPr>
        <w:t>，未提供的按无效响应处理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17、加热内胆采用冷、热水胆水平并排结构，冷水胆与加热胆分开，防止冷热水混合，加热胆中的蒸汽管道从冷水胆中穿过，回收蒸汽热能使冷水自动升温，</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sz w:val="24"/>
          <w:szCs w:val="24"/>
          <w:highlight w:val="none"/>
          <w:vertAlign w:val="baseline"/>
        </w:rPr>
        <w:t>提供</w:t>
      </w:r>
      <w:r>
        <w:rPr>
          <w:rFonts w:hint="eastAsia" w:ascii="宋体" w:hAnsi="宋体" w:eastAsia="宋体" w:cs="宋体"/>
          <w:b/>
          <w:bCs/>
          <w:color w:val="auto"/>
          <w:kern w:val="0"/>
          <w:sz w:val="24"/>
          <w:szCs w:val="24"/>
          <w:highlight w:val="none"/>
          <w:lang w:bidi="ar"/>
        </w:rPr>
        <w:t>有CMA资质的第三方检测机构出具的带CMA标志的检测报告复印件</w:t>
      </w:r>
      <w:r>
        <w:rPr>
          <w:rFonts w:hint="eastAsia" w:ascii="宋体" w:hAnsi="宋体" w:eastAsia="宋体" w:cs="宋体"/>
          <w:b/>
          <w:bCs/>
          <w:color w:val="auto"/>
          <w:kern w:val="0"/>
          <w:sz w:val="24"/>
          <w:szCs w:val="24"/>
          <w:highlight w:val="none"/>
          <w:lang w:eastAsia="zh-CN" w:bidi="ar"/>
        </w:rPr>
        <w:t>，未提供的按无效响应处理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18、温开水制水原理采用物理热交换技术，不得采用开水和常温水直接混合的方式，热交换器内管为304不锈钢波纹管、外管为304不锈钢硬管，热交换器节能率通过检测≥80%，热交换器检测要符合GB4806.9-2016标准要求；</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19、配电箱（电气盒）采用ABS材质一次注塑成型，外置嵌入式安装，控制电器原件集成安装，电路控制与涉水部件分离设计，以防漏水时导致漏电触电；</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sz w:val="24"/>
          <w:szCs w:val="24"/>
          <w:highlight w:val="none"/>
          <w:vertAlign w:val="baseline"/>
        </w:rPr>
        <w:t>提供</w:t>
      </w:r>
      <w:r>
        <w:rPr>
          <w:rFonts w:hint="eastAsia" w:ascii="宋体" w:hAnsi="宋体" w:eastAsia="宋体" w:cs="宋体"/>
          <w:b/>
          <w:bCs/>
          <w:color w:val="auto"/>
          <w:kern w:val="0"/>
          <w:sz w:val="24"/>
          <w:szCs w:val="24"/>
          <w:highlight w:val="none"/>
          <w:lang w:bidi="ar"/>
        </w:rPr>
        <w:t>有CMA资质的第三方检测机构出具的带CMA标志的检测报告复印件</w:t>
      </w:r>
      <w:r>
        <w:rPr>
          <w:rFonts w:hint="eastAsia" w:ascii="宋体" w:hAnsi="宋体" w:eastAsia="宋体" w:cs="宋体"/>
          <w:b/>
          <w:bCs/>
          <w:color w:val="auto"/>
          <w:kern w:val="0"/>
          <w:sz w:val="24"/>
          <w:szCs w:val="24"/>
          <w:highlight w:val="none"/>
          <w:lang w:eastAsia="zh-CN" w:bidi="ar"/>
        </w:rPr>
        <w:t>，未提供的按无效响应处理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20、所投产品的出水恒温、恒压、恒流，温度不受季节性气温变化而进行人工水温调节，开水和温开水龙头出水恒流柔和，出水压力小，开一个龙头与开多个龙头出水流速无差异、无波动，无喷水喷气现象，</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sz w:val="24"/>
          <w:szCs w:val="24"/>
          <w:highlight w:val="none"/>
          <w:vertAlign w:val="baseline"/>
        </w:rPr>
        <w:t>提供</w:t>
      </w:r>
      <w:r>
        <w:rPr>
          <w:rFonts w:hint="eastAsia" w:ascii="宋体" w:hAnsi="宋体" w:eastAsia="宋体" w:cs="宋体"/>
          <w:b/>
          <w:bCs/>
          <w:color w:val="auto"/>
          <w:kern w:val="0"/>
          <w:sz w:val="24"/>
          <w:szCs w:val="24"/>
          <w:highlight w:val="none"/>
          <w:lang w:bidi="ar"/>
        </w:rPr>
        <w:t>有CMA资质的第三方检测机构出具的带CMA标志的检测报告复印件</w:t>
      </w:r>
      <w:r>
        <w:rPr>
          <w:rFonts w:hint="eastAsia" w:ascii="宋体" w:hAnsi="宋体" w:eastAsia="宋体" w:cs="宋体"/>
          <w:b/>
          <w:bCs/>
          <w:color w:val="auto"/>
          <w:kern w:val="0"/>
          <w:sz w:val="24"/>
          <w:szCs w:val="24"/>
          <w:highlight w:val="none"/>
          <w:lang w:eastAsia="zh-CN" w:bidi="ar"/>
        </w:rPr>
        <w:t>，未提供的按无效响应处理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21、所投产品配置的紫外线杀菌器流量≥1L/min、额定功率≤13W、灯管紫外线强度测定≥</w:t>
      </w:r>
      <w:r>
        <w:rPr>
          <w:rFonts w:hint="eastAsia" w:ascii="宋体" w:hAnsi="宋体" w:cs="宋体"/>
          <w:b w:val="0"/>
          <w:bCs w:val="0"/>
          <w:color w:val="auto"/>
          <w:kern w:val="0"/>
          <w:sz w:val="24"/>
          <w:szCs w:val="24"/>
          <w:highlight w:val="none"/>
          <w:lang w:val="en-US" w:eastAsia="zh-CN" w:bidi="ar-SA"/>
        </w:rPr>
        <w:t>22</w:t>
      </w:r>
      <w:r>
        <w:rPr>
          <w:rFonts w:hint="eastAsia" w:ascii="宋体" w:hAnsi="宋体" w:eastAsia="宋体" w:cs="宋体"/>
          <w:b w:val="0"/>
          <w:bCs w:val="0"/>
          <w:color w:val="auto"/>
          <w:kern w:val="0"/>
          <w:sz w:val="24"/>
          <w:szCs w:val="24"/>
          <w:highlight w:val="none"/>
          <w:lang w:val="en-US" w:eastAsia="zh-CN" w:bidi="ar-SA"/>
        </w:rPr>
        <w:t>μW/cm²，</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sz w:val="24"/>
          <w:szCs w:val="24"/>
          <w:highlight w:val="none"/>
          <w:vertAlign w:val="baseline"/>
        </w:rPr>
        <w:t>提供</w:t>
      </w:r>
      <w:r>
        <w:rPr>
          <w:rFonts w:hint="eastAsia" w:ascii="宋体" w:hAnsi="宋体" w:eastAsia="宋体" w:cs="宋体"/>
          <w:b/>
          <w:bCs/>
          <w:color w:val="auto"/>
          <w:kern w:val="0"/>
          <w:sz w:val="24"/>
          <w:szCs w:val="24"/>
          <w:highlight w:val="none"/>
          <w:lang w:bidi="ar"/>
        </w:rPr>
        <w:t>有CMA资质的第三方检测机构出具的带CMA标志的检测报告复印件</w:t>
      </w:r>
      <w:r>
        <w:rPr>
          <w:rFonts w:hint="eastAsia" w:ascii="宋体" w:hAnsi="宋体" w:eastAsia="宋体" w:cs="宋体"/>
          <w:b/>
          <w:bCs/>
          <w:color w:val="auto"/>
          <w:kern w:val="0"/>
          <w:sz w:val="24"/>
          <w:szCs w:val="24"/>
          <w:highlight w:val="none"/>
          <w:lang w:val="en-US" w:eastAsia="zh-CN" w:bidi="ar-SA"/>
        </w:rPr>
        <w:t>，佐证材料在国家市场监督管理总局全国认证认可信息公共服务平台可查询，并提供带网址的查询截图</w:t>
      </w:r>
      <w:r>
        <w:rPr>
          <w:rFonts w:hint="eastAsia" w:ascii="宋体" w:hAnsi="宋体" w:eastAsia="宋体" w:cs="宋体"/>
          <w:b/>
          <w:bCs/>
          <w:color w:val="auto"/>
          <w:kern w:val="0"/>
          <w:sz w:val="24"/>
          <w:szCs w:val="24"/>
          <w:highlight w:val="none"/>
          <w:lang w:eastAsia="zh-CN" w:bidi="ar"/>
        </w:rPr>
        <w:t>，未提供的按无效响应处理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22、所投饮水机具有电源适配器部件装置，输出电压≤24V、电流≤3.0A、判定检验通过项≥215项合格，</w:t>
      </w:r>
      <w:r>
        <w:rPr>
          <w:rFonts w:hint="eastAsia" w:ascii="宋体" w:hAnsi="宋体" w:eastAsia="宋体" w:cs="宋体"/>
          <w:b/>
          <w:bCs/>
          <w:color w:val="auto"/>
          <w:sz w:val="24"/>
          <w:szCs w:val="24"/>
          <w:highlight w:val="none"/>
          <w:vertAlign w:val="baseline"/>
          <w:lang w:eastAsia="zh-CN"/>
        </w:rPr>
        <w:t>供应商</w:t>
      </w:r>
      <w:r>
        <w:rPr>
          <w:rFonts w:hint="eastAsia" w:ascii="宋体" w:hAnsi="宋体" w:eastAsia="宋体" w:cs="宋体"/>
          <w:b/>
          <w:bCs/>
          <w:color w:val="auto"/>
          <w:sz w:val="24"/>
          <w:szCs w:val="24"/>
          <w:highlight w:val="none"/>
          <w:vertAlign w:val="baseline"/>
        </w:rPr>
        <w:t>需</w:t>
      </w:r>
      <w:r>
        <w:rPr>
          <w:rFonts w:hint="eastAsia" w:ascii="宋体" w:hAnsi="宋体" w:eastAsia="宋体" w:cs="宋体"/>
          <w:b/>
          <w:bCs/>
          <w:color w:val="auto"/>
          <w:sz w:val="24"/>
          <w:szCs w:val="24"/>
          <w:highlight w:val="none"/>
          <w:vertAlign w:val="baseline"/>
          <w:lang w:eastAsia="zh-CN"/>
        </w:rPr>
        <w:t>在响应文件中</w:t>
      </w:r>
      <w:r>
        <w:rPr>
          <w:rFonts w:hint="eastAsia" w:ascii="宋体" w:hAnsi="宋体" w:eastAsia="宋体" w:cs="宋体"/>
          <w:b/>
          <w:bCs/>
          <w:color w:val="auto"/>
          <w:sz w:val="24"/>
          <w:szCs w:val="24"/>
          <w:highlight w:val="none"/>
          <w:vertAlign w:val="baseline"/>
        </w:rPr>
        <w:t>提供</w:t>
      </w:r>
      <w:r>
        <w:rPr>
          <w:rFonts w:hint="eastAsia" w:ascii="宋体" w:hAnsi="宋体" w:eastAsia="宋体" w:cs="宋体"/>
          <w:b/>
          <w:bCs/>
          <w:color w:val="auto"/>
          <w:kern w:val="0"/>
          <w:sz w:val="24"/>
          <w:szCs w:val="24"/>
          <w:highlight w:val="none"/>
          <w:lang w:bidi="ar"/>
        </w:rPr>
        <w:t>有CMA资质的第三方检测机构出具的带CMA标志的检测报告复印件</w:t>
      </w:r>
      <w:r>
        <w:rPr>
          <w:rFonts w:hint="eastAsia" w:ascii="宋体" w:hAnsi="宋体" w:eastAsia="宋体" w:cs="宋体"/>
          <w:b/>
          <w:bCs/>
          <w:color w:val="auto"/>
          <w:kern w:val="0"/>
          <w:sz w:val="24"/>
          <w:szCs w:val="24"/>
          <w:highlight w:val="none"/>
          <w:lang w:eastAsia="zh-CN" w:bidi="ar"/>
        </w:rPr>
        <w:t>，未提供的按无效响应处理</w:t>
      </w:r>
      <w:r>
        <w:rPr>
          <w:rFonts w:hint="eastAsia" w:ascii="宋体" w:hAnsi="宋体" w:eastAsia="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23、内胆水位控制采用硅胶座电极控制，防止结水垢引起传送信号故障导致溢水；内胆顶部设有清洗口，口径≥100mm；底部设有排污口，口径≥12mm；</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24、水槽排水漏斗及下水口连接管采用带钢丝的耐高温软管和螺纹锁接，排水管采用PP-R管，以防脱落，确保排水系统不变形、不漏水。</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cs="宋体"/>
          <w:b w:val="0"/>
          <w:bCs w:val="0"/>
          <w:color w:val="auto"/>
          <w:kern w:val="0"/>
          <w:sz w:val="24"/>
          <w:szCs w:val="24"/>
          <w:highlight w:val="none"/>
          <w:lang w:eastAsia="zh-CN" w:bidi="ar"/>
        </w:rPr>
      </w:pPr>
      <w:r>
        <w:rPr>
          <w:rFonts w:hint="eastAsia" w:ascii="宋体" w:hAnsi="宋体" w:eastAsia="宋体" w:cs="宋体"/>
          <w:b w:val="0"/>
          <w:bCs w:val="0"/>
          <w:color w:val="auto"/>
          <w:kern w:val="0"/>
          <w:sz w:val="24"/>
          <w:szCs w:val="24"/>
          <w:highlight w:val="none"/>
          <w:lang w:val="en-US" w:eastAsia="zh-CN" w:bidi="ar-SA"/>
        </w:rPr>
        <w:t>25、其它涉水部件（内胆、波纹管、电磁阀、水槽、电极、进水接头、发热管、铜配件、硅胶管、密封圈、滤壳等）符合GB4806.7-2016、GB4806.9-2016、GB4806.11-2016相关标准检测要求</w:t>
      </w:r>
      <w:r>
        <w:rPr>
          <w:rFonts w:hint="eastAsia" w:ascii="宋体" w:hAnsi="宋体" w:cs="宋体"/>
          <w:b w:val="0"/>
          <w:bCs w:val="0"/>
          <w:color w:val="auto"/>
          <w:kern w:val="0"/>
          <w:sz w:val="24"/>
          <w:szCs w:val="24"/>
          <w:highlight w:val="none"/>
          <w:lang w:eastAsia="zh-CN" w:bidi="ar"/>
        </w:rPr>
        <w:t>。</w:t>
      </w:r>
    </w:p>
    <w:p>
      <w:pPr>
        <w:keepNext w:val="0"/>
        <w:keepLines w:val="0"/>
        <w:pageBreakBefore w:val="0"/>
        <w:widowControl/>
        <w:kinsoku/>
        <w:wordWrap/>
        <w:overflowPunct/>
        <w:topLinePunct w:val="0"/>
        <w:autoSpaceDE/>
        <w:autoSpaceDN/>
        <w:bidi w:val="0"/>
        <w:spacing w:line="360" w:lineRule="auto"/>
        <w:ind w:left="0" w:firstLine="480" w:firstLineChars="200"/>
        <w:jc w:val="lef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
        </w:rPr>
        <w:t>26、设备安装时需加装漏电保护开关及插座</w:t>
      </w:r>
      <w:r>
        <w:rPr>
          <w:rFonts w:hint="eastAsia" w:ascii="宋体" w:hAnsi="宋体" w:cs="宋体"/>
          <w:b w:val="0"/>
          <w:bCs w:val="0"/>
          <w:color w:val="auto"/>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left="0"/>
        <w:jc w:val="left"/>
        <w:textAlignment w:val="auto"/>
        <w:rPr>
          <w:rFonts w:hint="eastAsia" w:ascii="宋体" w:hAnsi="宋体" w:eastAsia="宋体" w:cs="宋体"/>
          <w:b w:val="0"/>
          <w:bCs w:val="0"/>
          <w:color w:val="auto"/>
          <w:kern w:val="0"/>
          <w:sz w:val="24"/>
          <w:szCs w:val="24"/>
          <w:highlight w:val="none"/>
          <w:lang w:val="en-US" w:eastAsia="zh-CN" w:bidi="ar-SA"/>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bookmarkEnd w:id="3"/>
    <w:bookmarkEnd w:id="4"/>
    <w:bookmarkEnd w:id="5"/>
    <w:bookmarkEnd w:id="6"/>
    <w:p>
      <w:pPr>
        <w:pStyle w:val="9"/>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9"/>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w:t>
      </w:r>
      <w:r>
        <w:rPr>
          <w:rFonts w:hint="eastAsia" w:ascii="宋体" w:hAnsi="宋体" w:cs="宋体"/>
          <w:b/>
          <w:bCs/>
          <w:color w:val="auto"/>
          <w:kern w:val="0"/>
          <w:sz w:val="24"/>
          <w:highlight w:val="none"/>
          <w:lang w:eastAsia="zh-CN"/>
        </w:rPr>
        <w:t>之日起</w:t>
      </w:r>
      <w:r>
        <w:rPr>
          <w:rFonts w:hint="eastAsia" w:ascii="宋体" w:hAnsi="宋体" w:cs="宋体"/>
          <w:b/>
          <w:bCs/>
          <w:color w:val="auto"/>
          <w:kern w:val="0"/>
          <w:sz w:val="24"/>
          <w:highlight w:val="none"/>
          <w:lang w:val="en-US" w:eastAsia="zh-CN"/>
        </w:rPr>
        <w:t>30</w:t>
      </w:r>
      <w:r>
        <w:rPr>
          <w:rFonts w:hint="eastAsia" w:ascii="宋体" w:hAnsi="宋体" w:cs="宋体"/>
          <w:b/>
          <w:bCs/>
          <w:color w:val="auto"/>
          <w:kern w:val="0"/>
          <w:sz w:val="24"/>
          <w:highlight w:val="none"/>
        </w:rPr>
        <w:t>天内交货完毕。</w:t>
      </w:r>
    </w:p>
    <w:p>
      <w:pPr>
        <w:pStyle w:val="9"/>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3.交付条件：货到安装完毕，验收合格。</w:t>
      </w:r>
    </w:p>
    <w:p>
      <w:pPr>
        <w:pStyle w:val="9"/>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w:t>
      </w:r>
      <w:r>
        <w:rPr>
          <w:rFonts w:hint="eastAsia" w:ascii="宋体" w:hAnsi="宋体" w:eastAsia="宋体" w:cs="宋体"/>
          <w:b/>
          <w:bCs/>
          <w:color w:val="auto"/>
          <w:kern w:val="0"/>
          <w:sz w:val="24"/>
          <w:highlight w:val="none"/>
        </w:rPr>
        <w:t>全部事项（包含</w:t>
      </w:r>
      <w:r>
        <w:rPr>
          <w:rFonts w:hint="eastAsia" w:ascii="宋体" w:hAnsi="宋体" w:cs="宋体"/>
          <w:b/>
          <w:bCs/>
          <w:color w:val="auto"/>
          <w:sz w:val="24"/>
          <w:highlight w:val="none"/>
        </w:rPr>
        <w:t>保修期</w:t>
      </w:r>
      <w:r>
        <w:rPr>
          <w:rFonts w:hint="eastAsia" w:ascii="宋体" w:hAnsi="宋体" w:eastAsia="宋体" w:cs="宋体"/>
          <w:b/>
          <w:bCs/>
          <w:color w:val="auto"/>
          <w:kern w:val="0"/>
          <w:sz w:val="24"/>
          <w:highlight w:val="none"/>
        </w:rPr>
        <w:t>）且</w:t>
      </w:r>
      <w:r>
        <w:rPr>
          <w:rFonts w:hint="eastAsia" w:ascii="宋体" w:hAnsi="宋体" w:cs="宋体"/>
          <w:b/>
          <w:bCs/>
          <w:color w:val="auto"/>
          <w:kern w:val="0"/>
          <w:sz w:val="24"/>
          <w:highlight w:val="none"/>
        </w:rPr>
        <w:t>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5.验收方式：按照国家相关标准、行业标准及网上竞价文件及合同要求执行。</w:t>
      </w:r>
    </w:p>
    <w:p>
      <w:pPr>
        <w:widowControl/>
        <w:tabs>
          <w:tab w:val="left" w:pos="900"/>
          <w:tab w:val="left" w:pos="1100"/>
        </w:tabs>
        <w:spacing w:line="360" w:lineRule="auto"/>
        <w:ind w:left="0" w:firstLine="482" w:firstLineChars="200"/>
        <w:textAlignment w:val="baseline"/>
        <w:rPr>
          <w:rFonts w:hAnsi="宋体" w:cs="宋体"/>
          <w:b/>
          <w:bCs/>
          <w:color w:val="auto"/>
          <w:highlight w:val="none"/>
        </w:rPr>
      </w:pPr>
      <w:r>
        <w:rPr>
          <w:rFonts w:hint="eastAsia" w:ascii="宋体" w:hAnsi="宋体" w:cs="宋体"/>
          <w:b/>
          <w:bCs/>
          <w:color w:val="auto"/>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left="0" w:firstLine="482" w:firstLineChars="200"/>
        <w:textAlignment w:val="baseline"/>
        <w:rPr>
          <w:rFonts w:hAnsi="宋体" w:cs="宋体"/>
          <w:b/>
          <w:bCs/>
          <w:color w:val="auto"/>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.2</w:t>
      </w:r>
      <w:r>
        <w:rPr>
          <w:rFonts w:hint="eastAsia" w:ascii="宋体" w:hAnsi="宋体" w:cs="宋体"/>
          <w:b/>
          <w:bCs/>
          <w:color w:val="auto"/>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color w:val="auto"/>
          <w:sz w:val="24"/>
          <w:highlight w:val="none"/>
        </w:rPr>
        <w:t>15</w:t>
      </w:r>
      <w:r>
        <w:rPr>
          <w:rFonts w:hint="eastAsia" w:ascii="宋体" w:hAnsi="宋体" w:cs="宋体"/>
          <w:b/>
          <w:bCs/>
          <w:color w:val="auto"/>
          <w:sz w:val="24"/>
          <w:highlight w:val="none"/>
        </w:rPr>
        <w:t>日内无条件免费更换，直至验收合格交付使用。</w:t>
      </w:r>
    </w:p>
    <w:p>
      <w:pPr>
        <w:widowControl/>
        <w:tabs>
          <w:tab w:val="left" w:pos="900"/>
          <w:tab w:val="left" w:pos="1100"/>
        </w:tabs>
        <w:spacing w:line="360" w:lineRule="auto"/>
        <w:ind w:left="482"/>
        <w:textAlignment w:val="baseline"/>
        <w:rPr>
          <w:rFonts w:hAnsi="宋体" w:cs="宋体"/>
          <w:b/>
          <w:bCs/>
          <w:color w:val="auto"/>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.3</w:t>
      </w:r>
      <w:r>
        <w:rPr>
          <w:rFonts w:hint="eastAsia" w:ascii="宋体" w:hAnsi="宋体" w:cs="宋体"/>
          <w:b/>
          <w:bCs/>
          <w:color w:val="auto"/>
          <w:sz w:val="24"/>
          <w:highlight w:val="none"/>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5</w:t>
      </w:r>
      <w:r>
        <w:rPr>
          <w:rFonts w:ascii="宋体" w:hAnsi="宋体" w:cs="宋体"/>
          <w:b/>
          <w:bCs/>
          <w:color w:val="auto"/>
          <w:sz w:val="24"/>
          <w:highlight w:val="none"/>
        </w:rPr>
        <w:t>.4</w:t>
      </w:r>
      <w:r>
        <w:rPr>
          <w:rFonts w:hint="eastAsia" w:ascii="宋体" w:hAnsi="宋体" w:cs="宋体"/>
          <w:b/>
          <w:bCs/>
          <w:color w:val="auto"/>
          <w:sz w:val="24"/>
          <w:highlight w:val="none"/>
        </w:rPr>
        <w:t>在验收时所发生的一切费用由成交供应商承担。</w:t>
      </w:r>
    </w:p>
    <w:p>
      <w:pPr>
        <w:widowControl/>
        <w:tabs>
          <w:tab w:val="left" w:pos="900"/>
          <w:tab w:val="left" w:pos="1100"/>
        </w:tabs>
        <w:spacing w:line="360" w:lineRule="auto"/>
        <w:ind w:firstLine="482" w:firstLineChars="200"/>
        <w:textAlignment w:val="baseline"/>
        <w:rPr>
          <w:rStyle w:val="23"/>
          <w:rFonts w:hint="eastAsia" w:ascii="宋体" w:hAnsi="宋体" w:eastAsia="宋体" w:cs="宋体"/>
          <w:b w:val="0"/>
          <w:bCs w:val="0"/>
          <w:color w:val="auto"/>
          <w:sz w:val="24"/>
          <w:szCs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支付方式：</w:t>
      </w:r>
      <w:r>
        <w:rPr>
          <w:rFonts w:hint="eastAsia" w:ascii="宋体" w:hAnsi="宋体" w:eastAsia="宋体" w:cs="宋体"/>
          <w:b/>
          <w:bCs/>
          <w:color w:val="auto"/>
          <w:sz w:val="24"/>
          <w:szCs w:val="24"/>
          <w:highlight w:val="none"/>
        </w:rPr>
        <w:t>在货物安装调试完毕、经</w:t>
      </w:r>
      <w:r>
        <w:rPr>
          <w:rFonts w:hint="eastAsia" w:ascii="宋体" w:hAnsi="宋体" w:eastAsia="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验收合格后，</w:t>
      </w:r>
      <w:r>
        <w:rPr>
          <w:rFonts w:hint="eastAsia" w:ascii="宋体" w:hAnsi="宋体" w:cs="宋体"/>
          <w:b/>
          <w:bCs/>
          <w:color w:val="auto"/>
          <w:sz w:val="24"/>
          <w:highlight w:val="none"/>
        </w:rPr>
        <w:t>成交供应商</w:t>
      </w:r>
      <w:r>
        <w:rPr>
          <w:rFonts w:hint="eastAsia" w:ascii="宋体" w:hAnsi="宋体" w:eastAsia="宋体" w:cs="宋体"/>
          <w:b/>
          <w:bCs/>
          <w:color w:val="auto"/>
          <w:sz w:val="24"/>
          <w:szCs w:val="24"/>
          <w:highlight w:val="none"/>
        </w:rPr>
        <w:t>提供增值税专用</w:t>
      </w:r>
      <w:r>
        <w:rPr>
          <w:rStyle w:val="23"/>
          <w:rFonts w:hint="eastAsia" w:ascii="宋体" w:hAnsi="宋体" w:eastAsia="宋体" w:cs="宋体"/>
          <w:b/>
          <w:bCs/>
          <w:color w:val="auto"/>
          <w:sz w:val="24"/>
          <w:szCs w:val="24"/>
          <w:highlight w:val="none"/>
        </w:rPr>
        <w:t>发票及相关材料，</w:t>
      </w:r>
      <w:r>
        <w:rPr>
          <w:rStyle w:val="23"/>
          <w:rFonts w:hint="eastAsia" w:ascii="宋体" w:hAnsi="宋体" w:eastAsia="宋体" w:cs="宋体"/>
          <w:b/>
          <w:bCs/>
          <w:color w:val="auto"/>
          <w:sz w:val="24"/>
          <w:szCs w:val="24"/>
          <w:highlight w:val="none"/>
          <w:lang w:eastAsia="zh-CN"/>
        </w:rPr>
        <w:t>采购人</w:t>
      </w:r>
      <w:r>
        <w:rPr>
          <w:rStyle w:val="23"/>
          <w:rFonts w:hint="eastAsia" w:ascii="宋体" w:hAnsi="宋体" w:eastAsia="宋体" w:cs="宋体"/>
          <w:b/>
          <w:bCs/>
          <w:color w:val="auto"/>
          <w:sz w:val="24"/>
          <w:szCs w:val="24"/>
          <w:highlight w:val="none"/>
        </w:rPr>
        <w:t>在收到上述发票及材料后</w:t>
      </w:r>
      <w:r>
        <w:rPr>
          <w:rStyle w:val="23"/>
          <w:rFonts w:hint="eastAsia" w:ascii="宋体" w:hAnsi="宋体" w:cs="宋体"/>
          <w:b/>
          <w:bCs/>
          <w:color w:val="auto"/>
          <w:sz w:val="24"/>
          <w:szCs w:val="24"/>
          <w:highlight w:val="none"/>
          <w:lang w:val="en-US" w:eastAsia="zh-CN"/>
        </w:rPr>
        <w:t>3</w:t>
      </w:r>
      <w:r>
        <w:rPr>
          <w:rStyle w:val="23"/>
          <w:rFonts w:hint="eastAsia" w:ascii="宋体" w:hAnsi="宋体" w:eastAsia="宋体" w:cs="宋体"/>
          <w:b/>
          <w:bCs/>
          <w:color w:val="auto"/>
          <w:sz w:val="24"/>
          <w:szCs w:val="24"/>
          <w:highlight w:val="none"/>
        </w:rPr>
        <w:t>0日内支付</w:t>
      </w:r>
      <w:r>
        <w:rPr>
          <w:rFonts w:hint="eastAsia" w:ascii="宋体" w:hAnsi="宋体" w:cs="宋体"/>
          <w:b/>
          <w:bCs/>
          <w:color w:val="auto"/>
          <w:sz w:val="24"/>
          <w:highlight w:val="none"/>
        </w:rPr>
        <w:t>合同金额的100%</w:t>
      </w:r>
      <w:r>
        <w:rPr>
          <w:rStyle w:val="23"/>
          <w:rFonts w:hint="eastAsia" w:ascii="宋体" w:hAnsi="宋体" w:eastAsia="宋体" w:cs="宋体"/>
          <w:b/>
          <w:bCs/>
          <w:color w:val="auto"/>
          <w:sz w:val="24"/>
          <w:szCs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7.包装及运输</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8.售后服务</w:t>
      </w:r>
    </w:p>
    <w:p>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8.1成交供应商提供所有货物的免费保修时间自验收合格之日起为整机</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年（如有更长质保期承诺以竞价承诺为准），免费保修期内如有非人为因素导致的损坏或故障，成交供应商应免费上门售后服务并免费维修免费更换配件。成交供应商在接到采购人故障通知后</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小时内电话响应, 在</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小时内委派专业技术人员到达现场进行免费维修服务，并于</w:t>
      </w:r>
      <w:r>
        <w:rPr>
          <w:rFonts w:hint="eastAsia" w:ascii="宋体" w:hAnsi="宋体" w:cs="宋体"/>
          <w:b/>
          <w:bCs/>
          <w:color w:val="auto"/>
          <w:sz w:val="24"/>
          <w:highlight w:val="none"/>
          <w:lang w:val="en-US" w:eastAsia="zh-CN"/>
        </w:rPr>
        <w:t>48</w:t>
      </w:r>
      <w:r>
        <w:rPr>
          <w:rFonts w:hint="eastAsia" w:ascii="宋体" w:hAnsi="宋体" w:cs="宋体"/>
          <w:b/>
          <w:bCs/>
          <w:color w:val="auto"/>
          <w:sz w:val="24"/>
          <w:highlight w:val="none"/>
        </w:rPr>
        <w:t>个小时内排除故障。设备的重大配件损坏需要寄回厂家维修或更换的，经用户单位审核并书面确认后，维修时间可延长至七日，七日内无法修复必须无条件更换新机。保修期内</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有责任</w:t>
      </w:r>
      <w:r>
        <w:rPr>
          <w:rFonts w:hint="eastAsia" w:ascii="宋体" w:hAnsi="宋体" w:cs="宋体"/>
          <w:b/>
          <w:bCs/>
          <w:color w:val="auto"/>
          <w:sz w:val="24"/>
          <w:highlight w:val="none"/>
          <w:lang w:eastAsia="zh-CN"/>
        </w:rPr>
        <w:t>定期</w:t>
      </w:r>
      <w:r>
        <w:rPr>
          <w:rFonts w:hint="eastAsia" w:ascii="宋体" w:hAnsi="宋体" w:cs="宋体"/>
          <w:b/>
          <w:bCs/>
          <w:color w:val="auto"/>
          <w:sz w:val="24"/>
          <w:highlight w:val="none"/>
        </w:rPr>
        <w:t>对设备进行巡查检修</w:t>
      </w:r>
      <w:r>
        <w:rPr>
          <w:rFonts w:hint="eastAsia" w:ascii="宋体" w:hAnsi="宋体" w:cs="宋体"/>
          <w:b/>
          <w:bCs/>
          <w:color w:val="auto"/>
          <w:sz w:val="24"/>
          <w:highlight w:val="none"/>
          <w:lang w:eastAsia="zh-CN"/>
        </w:rPr>
        <w:t>（每半年不少于一次）</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供应商须</w:t>
      </w:r>
      <w:r>
        <w:rPr>
          <w:rFonts w:hint="eastAsia" w:ascii="宋体" w:hAnsi="宋体" w:cs="宋体"/>
          <w:b/>
          <w:bCs/>
          <w:color w:val="auto"/>
          <w:sz w:val="24"/>
          <w:highlight w:val="none"/>
        </w:rPr>
        <w:t>保障出现故障后可以及时到场更换</w:t>
      </w:r>
      <w:r>
        <w:rPr>
          <w:rFonts w:hint="eastAsia" w:ascii="宋体" w:hAnsi="宋体" w:cs="宋体"/>
          <w:b/>
          <w:bCs/>
          <w:color w:val="auto"/>
          <w:sz w:val="24"/>
          <w:highlight w:val="none"/>
          <w:lang w:eastAsia="zh-CN"/>
        </w:rPr>
        <w:t>。滤芯属于易耗品（耗材），由采购人另行采购。</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rPr>
        <w:t>8.2在</w:t>
      </w:r>
      <w:r>
        <w:rPr>
          <w:rFonts w:hint="eastAsia" w:ascii="宋体" w:hAnsi="宋体" w:cs="宋体"/>
          <w:b/>
          <w:bCs/>
          <w:color w:val="auto"/>
          <w:sz w:val="24"/>
          <w:highlight w:val="none"/>
          <w:lang w:eastAsia="zh-CN"/>
        </w:rPr>
        <w:t>售后维保</w:t>
      </w:r>
      <w:r>
        <w:rPr>
          <w:rFonts w:hint="eastAsia" w:ascii="宋体" w:hAnsi="宋体" w:cs="宋体"/>
          <w:b/>
          <w:bCs/>
          <w:color w:val="auto"/>
          <w:sz w:val="24"/>
          <w:highlight w:val="none"/>
        </w:rPr>
        <w:t>期内出现属货物质量问题，成交人应免费更换，更换的货物质量保</w:t>
      </w:r>
      <w:r>
        <w:rPr>
          <w:rFonts w:hint="eastAsia" w:ascii="宋体" w:hAnsi="宋体" w:cs="宋体"/>
          <w:b/>
          <w:bCs/>
          <w:color w:val="auto"/>
          <w:sz w:val="24"/>
          <w:highlight w:val="none"/>
          <w:lang w:eastAsia="zh-CN"/>
        </w:rPr>
        <w:t>修</w:t>
      </w:r>
      <w:r>
        <w:rPr>
          <w:rFonts w:hint="eastAsia" w:ascii="宋体" w:hAnsi="宋体" w:cs="宋体"/>
          <w:b/>
          <w:bCs/>
          <w:color w:val="auto"/>
          <w:sz w:val="24"/>
          <w:highlight w:val="none"/>
        </w:rPr>
        <w:t>期从更换之日起相应顺延。</w:t>
      </w:r>
    </w:p>
    <w:p>
      <w:pPr>
        <w:widowControl/>
        <w:tabs>
          <w:tab w:val="left" w:pos="900"/>
          <w:tab w:val="left" w:pos="1100"/>
        </w:tabs>
        <w:spacing w:line="360" w:lineRule="auto"/>
        <w:ind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rPr>
        <w:t>9.违约责任：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（1）解除合同违约责任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（2）分包转包违约责任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（3）进入监管区有关违约责任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（4）合同期内服务不到位相关违约责任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fldChar w:fldCharType="begin"/>
      </w:r>
      <w:r>
        <w:rPr>
          <w:rFonts w:hint="eastAsia"/>
          <w:color w:val="auto"/>
          <w:highlight w:val="none"/>
          <w:lang w:val="zh-TW"/>
        </w:rPr>
        <w:instrText xml:space="preserve"> = 1 \* GB3 \* MERGEFORMAT </w:instrText>
      </w:r>
      <w:r>
        <w:rPr>
          <w:rFonts w:hint="eastAsia"/>
          <w:color w:val="auto"/>
          <w:highlight w:val="none"/>
          <w:lang w:val="zh-TW"/>
        </w:rPr>
        <w:fldChar w:fldCharType="separate"/>
      </w:r>
      <w:r>
        <w:rPr>
          <w:rFonts w:hint="eastAsia"/>
          <w:color w:val="auto"/>
          <w:highlight w:val="none"/>
          <w:lang w:val="zh-TW"/>
        </w:rPr>
        <w:t>①</w:t>
      </w:r>
      <w:r>
        <w:rPr>
          <w:rFonts w:hint="eastAsia"/>
          <w:color w:val="auto"/>
          <w:highlight w:val="none"/>
          <w:lang w:val="zh-TW"/>
        </w:rPr>
        <w:fldChar w:fldCharType="end"/>
      </w:r>
      <w:r>
        <w:rPr>
          <w:rFonts w:hint="eastAsia"/>
          <w:color w:val="auto"/>
          <w:highlight w:val="none"/>
          <w:lang w:val="zh-TW"/>
        </w:rPr>
        <w:t>未按期交货的违约责任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w:t>
      </w:r>
      <w:r>
        <w:rPr>
          <w:rFonts w:hint="eastAsia"/>
          <w:color w:val="auto"/>
          <w:highlight w:val="none"/>
          <w:lang w:val="en-US" w:eastAsia="zh-CN"/>
        </w:rPr>
        <w:t>0</w:t>
      </w:r>
      <w:r>
        <w:rPr>
          <w:rFonts w:hint="eastAsia"/>
          <w:color w:val="auto"/>
          <w:highlight w:val="none"/>
          <w:lang w:val="zh-TW"/>
        </w:rPr>
        <w:t>0元人民币违约金并继续履行应尽的配送或安装等相关服务。但是，延期违约金的支付总额不得超过合同金额的</w:t>
      </w:r>
      <w:r>
        <w:rPr>
          <w:rFonts w:hint="eastAsia"/>
          <w:color w:val="auto"/>
          <w:highlight w:val="none"/>
          <w:lang w:val="en-US" w:eastAsia="zh-CN"/>
        </w:rPr>
        <w:t>1</w:t>
      </w:r>
      <w:r>
        <w:rPr>
          <w:rFonts w:hint="eastAsia"/>
          <w:color w:val="auto"/>
          <w:highlight w:val="none"/>
          <w:lang w:val="zh-TW"/>
        </w:rPr>
        <w:t>0％。</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若成交供应商逾期交货或安装时间达</w:t>
      </w:r>
      <w:r>
        <w:rPr>
          <w:rFonts w:hint="eastAsia"/>
          <w:color w:val="auto"/>
          <w:highlight w:val="none"/>
          <w:lang w:val="en-US" w:eastAsia="zh-CN"/>
        </w:rPr>
        <w:t>14</w:t>
      </w:r>
      <w:r>
        <w:rPr>
          <w:rFonts w:hint="eastAsia"/>
          <w:color w:val="auto"/>
          <w:highlight w:val="none"/>
          <w:lang w:val="zh-TW"/>
        </w:rPr>
        <w:t>天（含</w:t>
      </w:r>
      <w:r>
        <w:rPr>
          <w:rFonts w:hint="eastAsia"/>
          <w:color w:val="auto"/>
          <w:highlight w:val="none"/>
          <w:lang w:val="en-US" w:eastAsia="zh-CN"/>
        </w:rPr>
        <w:t>14</w:t>
      </w:r>
      <w:r>
        <w:rPr>
          <w:rFonts w:hint="eastAsia"/>
          <w:color w:val="auto"/>
          <w:highlight w:val="none"/>
          <w:lang w:val="zh-TW"/>
        </w:rPr>
        <w:t>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fldChar w:fldCharType="begin"/>
      </w:r>
      <w:r>
        <w:rPr>
          <w:rFonts w:hint="eastAsia"/>
          <w:color w:val="auto"/>
          <w:highlight w:val="none"/>
          <w:lang w:val="zh-TW"/>
        </w:rPr>
        <w:instrText xml:space="preserve"> = 2 \* GB3 \* MERGEFORMAT </w:instrText>
      </w:r>
      <w:r>
        <w:rPr>
          <w:rFonts w:hint="eastAsia"/>
          <w:color w:val="auto"/>
          <w:highlight w:val="none"/>
          <w:lang w:val="zh-TW"/>
        </w:rPr>
        <w:fldChar w:fldCharType="separate"/>
      </w:r>
      <w:r>
        <w:rPr>
          <w:rFonts w:hint="eastAsia"/>
          <w:color w:val="auto"/>
          <w:highlight w:val="none"/>
          <w:lang w:val="zh-TW"/>
        </w:rPr>
        <w:t>②</w:t>
      </w:r>
      <w:r>
        <w:rPr>
          <w:rFonts w:hint="eastAsia"/>
          <w:color w:val="auto"/>
          <w:highlight w:val="none"/>
          <w:lang w:val="zh-TW"/>
        </w:rPr>
        <w:fldChar w:fldCharType="end"/>
      </w:r>
      <w:r>
        <w:rPr>
          <w:rFonts w:hint="eastAsia"/>
          <w:color w:val="auto"/>
          <w:highlight w:val="none"/>
          <w:lang w:val="zh-TW"/>
        </w:rPr>
        <w:t>成交供应商提供的产品质量不符合合同约定的，采购人有权拒收并要求更换为符合采购要求的产品，每发现一次，处违约金</w:t>
      </w:r>
      <w:r>
        <w:rPr>
          <w:rFonts w:hint="eastAsia"/>
          <w:color w:val="auto"/>
          <w:highlight w:val="none"/>
          <w:lang w:val="en-US" w:eastAsia="zh-CN"/>
        </w:rPr>
        <w:t>1000</w:t>
      </w:r>
      <w:r>
        <w:rPr>
          <w:rFonts w:hint="eastAsia"/>
          <w:color w:val="auto"/>
          <w:highlight w:val="none"/>
          <w:lang w:val="zh-TW"/>
        </w:rPr>
        <w:t>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③</w:t>
      </w:r>
      <w:r>
        <w:rPr>
          <w:rFonts w:hint="eastAsia"/>
          <w:color w:val="auto"/>
          <w:highlight w:val="none"/>
          <w:lang w:val="zh-TW" w:eastAsia="zh-CN"/>
        </w:rPr>
        <w:t>售后维保</w:t>
      </w:r>
      <w:r>
        <w:rPr>
          <w:rFonts w:hint="eastAsia"/>
          <w:color w:val="auto"/>
          <w:highlight w:val="none"/>
          <w:lang w:val="zh-TW"/>
        </w:rPr>
        <w:t>期内，成交供应商未按照合同约定或承诺的时间提供</w:t>
      </w:r>
      <w:r>
        <w:rPr>
          <w:rFonts w:hint="eastAsia"/>
          <w:color w:val="auto"/>
          <w:highlight w:val="none"/>
          <w:lang w:val="zh-TW" w:eastAsia="zh-CN"/>
        </w:rPr>
        <w:t>保修</w:t>
      </w:r>
      <w:r>
        <w:rPr>
          <w:rFonts w:hint="eastAsia"/>
          <w:color w:val="auto"/>
          <w:highlight w:val="none"/>
          <w:lang w:val="zh-TW"/>
        </w:rPr>
        <w:t>服务，每逾期一天，应支付采购人违约金100元，因成交供应商产品质量问题导致采购人人身或财产损失的，成交供应商应予以赔偿。</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fldChar w:fldCharType="begin"/>
      </w:r>
      <w:r>
        <w:rPr>
          <w:rFonts w:hint="eastAsia"/>
          <w:color w:val="auto"/>
          <w:highlight w:val="none"/>
          <w:lang w:val="zh-TW"/>
        </w:rPr>
        <w:instrText xml:space="preserve"> = 4 \* GB3 \* MERGEFORMAT </w:instrText>
      </w:r>
      <w:r>
        <w:rPr>
          <w:rFonts w:hint="eastAsia"/>
          <w:color w:val="auto"/>
          <w:highlight w:val="none"/>
          <w:lang w:val="zh-TW"/>
        </w:rPr>
        <w:fldChar w:fldCharType="separate"/>
      </w:r>
      <w:r>
        <w:rPr>
          <w:rFonts w:hint="eastAsia"/>
          <w:color w:val="auto"/>
          <w:highlight w:val="none"/>
          <w:lang w:val="zh-TW"/>
        </w:rPr>
        <w:t>④</w:t>
      </w:r>
      <w:r>
        <w:rPr>
          <w:rFonts w:hint="eastAsia"/>
          <w:color w:val="auto"/>
          <w:highlight w:val="none"/>
          <w:lang w:val="zh-TW"/>
        </w:rPr>
        <w:fldChar w:fldCharType="end"/>
      </w:r>
      <w:r>
        <w:rPr>
          <w:rFonts w:hint="eastAsia"/>
          <w:color w:val="auto"/>
          <w:highlight w:val="none"/>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b/>
          <w:bCs/>
          <w:color w:val="auto"/>
          <w:highlight w:val="none"/>
          <w:lang w:val="zh-TW"/>
        </w:rPr>
      </w:pPr>
      <w:r>
        <w:rPr>
          <w:rFonts w:hint="eastAsia"/>
          <w:color w:val="auto"/>
          <w:highlight w:val="none"/>
          <w:lang w:val="zh-TW"/>
        </w:rPr>
        <w:t>（7）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w:t>
      </w:r>
      <w:r>
        <w:rPr>
          <w:rFonts w:hint="eastAsia"/>
          <w:color w:val="auto"/>
          <w:highlight w:val="none"/>
        </w:rPr>
        <w:t>8</w:t>
      </w:r>
      <w:r>
        <w:rPr>
          <w:rFonts w:hint="eastAsia"/>
          <w:color w:val="auto"/>
          <w:highlight w:val="none"/>
          <w:lang w:val="zh-TW"/>
        </w:rPr>
        <w:t>）若因成交供应商未履行本合同项下义务导致采购人所产生的一切损失（包括但不限于人身财产的损失、律师费、诉讼费、保全费、鉴定费等），均由成交供应商承担违约和赔偿责任。</w:t>
      </w:r>
    </w:p>
    <w:p>
      <w:pPr>
        <w:pStyle w:val="16"/>
        <w:spacing w:before="0" w:beforeAutospacing="0" w:after="0" w:afterAutospacing="0" w:line="360" w:lineRule="auto"/>
        <w:ind w:firstLine="482" w:firstLineChars="200"/>
        <w:rPr>
          <w:color w:val="auto"/>
          <w:highlight w:val="none"/>
        </w:rPr>
      </w:pPr>
      <w:r>
        <w:rPr>
          <w:rFonts w:hint="eastAsia"/>
          <w:b/>
          <w:bCs/>
          <w:color w:val="auto"/>
          <w:highlight w:val="none"/>
        </w:rPr>
        <w:t>10</w:t>
      </w:r>
      <w:r>
        <w:rPr>
          <w:rStyle w:val="23"/>
          <w:rFonts w:hint="eastAsia"/>
          <w:color w:val="auto"/>
          <w:highlight w:val="none"/>
        </w:rPr>
        <w:t>.诉讼相关费用承担：</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11.</w:t>
      </w:r>
      <w:r>
        <w:rPr>
          <w:rFonts w:hint="eastAsia"/>
          <w:b/>
          <w:bCs/>
          <w:color w:val="auto"/>
          <w:highlight w:val="none"/>
          <w:lang w:val="zh-TW"/>
        </w:rPr>
        <w:t>不可抗力</w:t>
      </w:r>
      <w:r>
        <w:rPr>
          <w:rFonts w:hint="eastAsia"/>
          <w:b/>
          <w:bCs/>
          <w:color w:val="auto"/>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color w:val="auto"/>
          <w:highlight w:val="none"/>
        </w:rPr>
      </w:pPr>
      <w:r>
        <w:rPr>
          <w:rStyle w:val="23"/>
          <w:rFonts w:hint="eastAsia"/>
          <w:color w:val="auto"/>
          <w:highlight w:val="none"/>
        </w:rPr>
        <w:t>12.专利权及知识产权：</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6"/>
        <w:spacing w:before="0" w:beforeAutospacing="0" w:after="0" w:afterAutospacing="0" w:line="360" w:lineRule="auto"/>
        <w:ind w:firstLine="482" w:firstLineChars="200"/>
        <w:rPr>
          <w:color w:val="auto"/>
          <w:highlight w:val="none"/>
        </w:rPr>
      </w:pPr>
      <w:r>
        <w:rPr>
          <w:rStyle w:val="23"/>
          <w:rFonts w:hint="eastAsia"/>
          <w:color w:val="auto"/>
          <w:highlight w:val="none"/>
        </w:rPr>
        <w:t>13.保密条款：</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14.</w:t>
      </w:r>
      <w:r>
        <w:rPr>
          <w:rFonts w:hint="eastAsia"/>
          <w:b/>
          <w:bCs/>
          <w:color w:val="auto"/>
          <w:highlight w:val="none"/>
          <w:lang w:val="zh-TW"/>
        </w:rPr>
        <w:t>廉政条款</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15.</w:t>
      </w:r>
      <w:r>
        <w:rPr>
          <w:rFonts w:hint="eastAsia"/>
          <w:b/>
          <w:bCs/>
          <w:color w:val="auto"/>
          <w:highlight w:val="none"/>
          <w:lang w:val="zh-TW"/>
        </w:rPr>
        <w:t>合同纠纷处理方式</w:t>
      </w:r>
    </w:p>
    <w:p>
      <w:pPr>
        <w:pStyle w:val="16"/>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883"/>
        <w:gridCol w:w="2217"/>
        <w:gridCol w:w="1550"/>
        <w:gridCol w:w="1325"/>
        <w:gridCol w:w="1771"/>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75"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序号</w:t>
            </w:r>
          </w:p>
        </w:tc>
        <w:tc>
          <w:tcPr>
            <w:tcW w:w="119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货物名称</w:t>
            </w:r>
          </w:p>
        </w:tc>
        <w:tc>
          <w:tcPr>
            <w:tcW w:w="83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71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95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55"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475" w:type="pct"/>
            <w:vAlign w:val="center"/>
          </w:tcPr>
          <w:p>
            <w:pPr>
              <w:widowControl/>
              <w:spacing w:line="360" w:lineRule="auto"/>
              <w:jc w:val="center"/>
              <w:textAlignment w:val="center"/>
              <w:rPr>
                <w:rFonts w:cs="宋体"/>
                <w:color w:val="auto"/>
                <w:highlight w:val="none"/>
              </w:rPr>
            </w:pPr>
          </w:p>
        </w:tc>
        <w:tc>
          <w:tcPr>
            <w:tcW w:w="1193"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ascii="宋体" w:hAnsi="宋体" w:cs="宋体"/>
                <w:color w:val="auto"/>
                <w:kern w:val="0"/>
                <w:sz w:val="24"/>
                <w:highlight w:val="none"/>
                <w:lang w:bidi="ar"/>
              </w:rPr>
            </w:pPr>
          </w:p>
        </w:tc>
        <w:tc>
          <w:tcPr>
            <w:tcW w:w="713" w:type="pct"/>
            <w:vAlign w:val="center"/>
          </w:tcPr>
          <w:p>
            <w:pPr>
              <w:pStyle w:val="16"/>
              <w:wordWrap w:val="0"/>
              <w:spacing w:beforeAutospacing="0" w:afterAutospacing="0" w:line="360" w:lineRule="auto"/>
              <w:jc w:val="center"/>
              <w:rPr>
                <w:color w:val="auto"/>
                <w:highlight w:val="none"/>
              </w:rPr>
            </w:pPr>
          </w:p>
        </w:tc>
        <w:tc>
          <w:tcPr>
            <w:tcW w:w="953" w:type="pct"/>
            <w:vAlign w:val="center"/>
          </w:tcPr>
          <w:p>
            <w:pPr>
              <w:pStyle w:val="16"/>
              <w:wordWrap w:val="0"/>
              <w:spacing w:beforeAutospacing="0" w:afterAutospacing="0" w:line="360" w:lineRule="auto"/>
              <w:jc w:val="center"/>
              <w:rPr>
                <w:color w:val="auto"/>
                <w:highlight w:val="none"/>
              </w:rPr>
            </w:pPr>
          </w:p>
        </w:tc>
        <w:tc>
          <w:tcPr>
            <w:tcW w:w="355"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pPr>
        <w:spacing w:line="360" w:lineRule="auto"/>
        <w:ind w:firstLine="482" w:firstLineChars="200"/>
        <w:outlineLvl w:val="1"/>
        <w:rPr>
          <w:rFonts w:ascii="宋体" w:hAnsi="宋体" w:cs="宋体"/>
          <w:b/>
          <w:color w:val="auto"/>
          <w:sz w:val="24"/>
          <w:highlight w:val="none"/>
        </w:rPr>
      </w:pPr>
      <w:bookmarkStart w:id="9" w:name="_Toc15649"/>
      <w:r>
        <w:rPr>
          <w:rFonts w:hint="eastAsia" w:ascii="宋体" w:hAnsi="宋体" w:cs="宋体"/>
          <w:b/>
          <w:color w:val="auto"/>
          <w:sz w:val="24"/>
          <w:highlight w:val="none"/>
        </w:rPr>
        <w:t>4、项目联系人：</w:t>
      </w:r>
      <w:bookmarkEnd w:id="9"/>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rPr>
          <w:rFonts w:ascii="宋体" w:hAnsi="宋体" w:cs="宋体"/>
          <w:b/>
          <w:bCs/>
          <w:color w:val="auto"/>
          <w:sz w:val="24"/>
          <w:highlight w:val="none"/>
        </w:rPr>
      </w:pPr>
      <w:bookmarkStart w:id="12" w:name="_Toc22019"/>
      <w:r>
        <w:rPr>
          <w:rFonts w:hint="eastAsia" w:ascii="宋体" w:hAnsi="宋体" w:cs="宋体"/>
          <w:b/>
          <w:bCs/>
          <w:color w:val="auto"/>
          <w:sz w:val="24"/>
          <w:highlight w:val="none"/>
        </w:rPr>
        <w:t>9.包装及运输</w:t>
      </w:r>
      <w:bookmarkEnd w:id="1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3" w:name="_Toc29742"/>
      <w:r>
        <w:rPr>
          <w:rFonts w:hint="eastAsia" w:ascii="宋体" w:hAnsi="宋体" w:cs="宋体"/>
          <w:b/>
          <w:bCs/>
          <w:color w:val="auto"/>
          <w:sz w:val="24"/>
          <w:highlight w:val="none"/>
        </w:rPr>
        <w:t>10、售后服务</w:t>
      </w:r>
      <w:bookmarkEnd w:id="13"/>
      <w:bookmarkStart w:id="14" w:name="_Toc26908"/>
      <w:r>
        <w:rPr>
          <w:rFonts w:hint="eastAsia" w:ascii="宋体" w:hAnsi="宋体" w:cs="宋体"/>
          <w:b/>
          <w:bCs/>
          <w:color w:val="auto"/>
          <w:sz w:val="24"/>
          <w:highlight w:val="none"/>
        </w:rPr>
        <w:t>：</w:t>
      </w:r>
    </w:p>
    <w:p>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4"/>
      <w:bookmarkStart w:id="15" w:name="_Toc24883"/>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5"/>
    </w:p>
    <w:p>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color w:val="auto"/>
          <w:sz w:val="24"/>
          <w:highlight w:val="none"/>
        </w:rPr>
      </w:pPr>
      <w:bookmarkStart w:id="16" w:name="_Toc25786"/>
      <w:r>
        <w:rPr>
          <w:rFonts w:hint="eastAsia" w:ascii="宋体" w:hAnsi="宋体" w:cs="宋体"/>
          <w:b/>
          <w:bCs/>
          <w:color w:val="auto"/>
          <w:sz w:val="24"/>
          <w:highlight w:val="none"/>
        </w:rPr>
        <w:t>13、知识产权</w:t>
      </w:r>
      <w:bookmarkEnd w:id="16"/>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7" w:name="_Toc1392"/>
      <w:r>
        <w:rPr>
          <w:rFonts w:hint="eastAsia" w:ascii="宋体" w:hAnsi="宋体" w:cs="宋体"/>
          <w:b/>
          <w:bCs/>
          <w:color w:val="auto"/>
          <w:sz w:val="24"/>
          <w:highlight w:val="none"/>
        </w:rPr>
        <w:t>15、合同解除条件</w:t>
      </w:r>
      <w:bookmarkEnd w:id="17"/>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8" w:name="_Toc5467"/>
      <w:r>
        <w:rPr>
          <w:rFonts w:hint="eastAsia" w:ascii="宋体" w:hAnsi="宋体" w:cs="宋体"/>
          <w:b/>
          <w:bCs/>
          <w:color w:val="auto"/>
          <w:sz w:val="24"/>
          <w:highlight w:val="none"/>
        </w:rPr>
        <w:t>16、不可抗力</w:t>
      </w:r>
      <w:bookmarkEnd w:id="18"/>
    </w:p>
    <w:p>
      <w:pPr>
        <w:pStyle w:val="16"/>
        <w:spacing w:before="0" w:beforeAutospacing="0" w:after="0" w:afterAutospacing="0" w:line="360" w:lineRule="auto"/>
        <w:ind w:firstLine="480" w:firstLineChars="200"/>
        <w:rPr>
          <w:color w:val="auto"/>
          <w:highlight w:val="none"/>
          <w:lang w:val="zh-TW"/>
        </w:rPr>
      </w:pPr>
      <w:bookmarkStart w:id="1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19"/>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color w:val="auto"/>
          <w:sz w:val="24"/>
          <w:highlight w:val="none"/>
        </w:rPr>
      </w:pPr>
      <w:bookmarkStart w:id="20" w:name="_Toc16899"/>
      <w:r>
        <w:rPr>
          <w:rFonts w:hint="eastAsia" w:ascii="宋体" w:hAnsi="宋体" w:cs="宋体"/>
          <w:b/>
          <w:bCs/>
          <w:color w:val="auto"/>
          <w:sz w:val="24"/>
          <w:highlight w:val="none"/>
        </w:rPr>
        <w:t>18、其他要求</w:t>
      </w:r>
      <w:bookmarkEnd w:id="20"/>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color w:val="auto"/>
          <w:sz w:val="24"/>
          <w:highlight w:val="none"/>
        </w:rPr>
      </w:pPr>
      <w:bookmarkStart w:id="21" w:name="_Toc8403"/>
      <w:r>
        <w:rPr>
          <w:rFonts w:hint="eastAsia" w:ascii="宋体" w:hAnsi="宋体" w:cs="宋体"/>
          <w:b/>
          <w:bCs/>
          <w:color w:val="auto"/>
          <w:sz w:val="24"/>
          <w:highlight w:val="none"/>
        </w:rPr>
        <w:t>19、保密要求</w:t>
      </w:r>
      <w:bookmarkEnd w:id="21"/>
    </w:p>
    <w:p>
      <w:pPr>
        <w:pStyle w:val="16"/>
        <w:spacing w:before="0" w:beforeAutospacing="0" w:after="0" w:afterAutospacing="0" w:line="360" w:lineRule="auto"/>
        <w:ind w:firstLine="480" w:firstLineChars="200"/>
        <w:rPr>
          <w:color w:val="auto"/>
          <w:highlight w:val="none"/>
        </w:rPr>
      </w:pPr>
      <w:bookmarkStart w:id="2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2"/>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9"/>
        <w:spacing w:line="360" w:lineRule="auto"/>
        <w:ind w:left="0" w:leftChars="0" w:firstLine="480" w:firstLineChars="200"/>
        <w:rPr>
          <w:color w:val="auto"/>
          <w:sz w:val="24"/>
          <w:highlight w:val="none"/>
        </w:rPr>
      </w:pPr>
      <w:bookmarkStart w:id="23" w:name="_Toc30271"/>
      <w:r>
        <w:rPr>
          <w:rFonts w:hint="eastAsia" w:ascii="宋体" w:hAnsi="宋体" w:cs="宋体"/>
          <w:color w:val="auto"/>
          <w:sz w:val="24"/>
          <w:highlight w:val="none"/>
        </w:rPr>
        <w:t>账    号：                            账    号：</w:t>
      </w:r>
      <w:bookmarkEnd w:id="23"/>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6"/>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3"/>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3"/>
        <w:spacing w:line="360" w:lineRule="auto"/>
        <w:rPr>
          <w:color w:val="auto"/>
          <w:highlight w:val="none"/>
        </w:rPr>
      </w:pPr>
    </w:p>
    <w:p>
      <w:pPr>
        <w:rPr>
          <w:rFonts w:hAnsi="宋体" w:cs="宋体"/>
          <w:b/>
          <w:color w:val="auto"/>
          <w:sz w:val="36"/>
          <w:highlight w:val="none"/>
        </w:rPr>
      </w:pPr>
      <w:r>
        <w:rPr>
          <w:rFonts w:hint="eastAsia" w:hAnsi="宋体" w:cs="宋体"/>
          <w:b/>
          <w:color w:val="auto"/>
          <w:sz w:val="36"/>
          <w:highlight w:val="none"/>
        </w:rPr>
        <w:br w:type="page"/>
      </w:r>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pacing w:line="360" w:lineRule="auto"/>
        <w:jc w:val="center"/>
        <w:rPr>
          <w:rFonts w:ascii="宋体" w:hAnsi="宋体" w:cs="宋体"/>
          <w:b/>
          <w:color w:val="auto"/>
          <w:kern w:val="0"/>
          <w:sz w:val="72"/>
          <w:szCs w:val="72"/>
          <w:highlight w:val="none"/>
          <w:shd w:val="clear" w:color="auto" w:fill="FFFFFF"/>
        </w:rPr>
      </w:pPr>
    </w:p>
    <w:p>
      <w:pPr>
        <w:widowControl/>
        <w:spacing w:line="360" w:lineRule="auto"/>
        <w:jc w:val="center"/>
        <w:rPr>
          <w:rFonts w:ascii="宋体" w:hAnsi="宋体" w:cs="宋体"/>
          <w:b/>
          <w:color w:val="auto"/>
          <w:kern w:val="0"/>
          <w:sz w:val="72"/>
          <w:szCs w:val="72"/>
          <w:highlight w:val="none"/>
          <w:shd w:val="clear" w:color="auto" w:fill="FFFFFF"/>
        </w:rPr>
      </w:pPr>
    </w:p>
    <w:p>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134" w:right="1417" w:bottom="1134" w:left="1417" w:header="851" w:footer="646" w:gutter="0"/>
          <w:cols w:space="0" w:num="1"/>
          <w:rtlGutter w:val="0"/>
          <w:docGrid w:linePitch="312" w:charSpace="0"/>
        </w:sectPr>
      </w:pPr>
    </w:p>
    <w:p>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pacing w:line="360" w:lineRule="auto"/>
        <w:rPr>
          <w:rFonts w:ascii="宋体" w:hAnsi="宋体" w:cs="宋体"/>
          <w:b/>
          <w:color w:val="auto"/>
          <w:kern w:val="0"/>
          <w:sz w:val="28"/>
          <w:szCs w:val="28"/>
          <w:highlight w:val="none"/>
          <w:shd w:val="clear" w:color="auto" w:fill="FFFFFF"/>
        </w:rPr>
      </w:pP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color w:val="auto"/>
          <w:kern w:val="0"/>
          <w:sz w:val="24"/>
          <w:highlight w:val="none"/>
          <w:shd w:val="clear" w:color="auto" w:fill="FFFFFF"/>
        </w:rPr>
      </w:pP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3"/>
                <w:rFonts w:hint="eastAsia"/>
                <w:color w:val="auto"/>
                <w:highlight w:val="none"/>
              </w:rPr>
              <w:t> </w:t>
            </w:r>
          </w:p>
          <w:p>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3"/>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4"/>
        <w:spacing w:line="360" w:lineRule="auto"/>
        <w:rPr>
          <w:rFonts w:ascii="Times New Roman" w:hAnsi="Times New Roman"/>
          <w:color w:val="auto"/>
          <w:highlight w:val="none"/>
        </w:rPr>
      </w:pPr>
    </w:p>
    <w:p>
      <w:pPr>
        <w:spacing w:line="360" w:lineRule="auto"/>
        <w:rPr>
          <w:rFonts w:ascii="Times New Roman" w:hAnsi="Times New Roman"/>
          <w:b/>
          <w:color w:val="auto"/>
          <w:sz w:val="32"/>
          <w:highlight w:val="none"/>
        </w:rPr>
      </w:pPr>
    </w:p>
    <w:p>
      <w:pPr>
        <w:pStyle w:val="4"/>
        <w:spacing w:line="360" w:lineRule="auto"/>
        <w:rPr>
          <w:rFonts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0"/>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0"/>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9"/>
        <w:spacing w:line="360" w:lineRule="auto"/>
        <w:ind w:left="0" w:leftChars="0"/>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9"/>
        <w:spacing w:line="360" w:lineRule="auto"/>
        <w:ind w:left="0" w:leftChars="0"/>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5"/>
        <w:spacing w:line="360" w:lineRule="auto"/>
        <w:rPr>
          <w:rFonts w:ascii="楷体_GB2312" w:eastAsia="楷体_GB2312"/>
          <w:b/>
          <w:color w:val="auto"/>
          <w:sz w:val="40"/>
          <w:szCs w:val="40"/>
          <w:highlight w:val="none"/>
        </w:rPr>
      </w:pPr>
    </w:p>
    <w:p>
      <w:pPr>
        <w:pStyle w:val="9"/>
        <w:spacing w:line="360" w:lineRule="auto"/>
        <w:rPr>
          <w:rFonts w:ascii="楷体_GB2312" w:eastAsia="楷体_GB2312"/>
          <w:b/>
          <w:color w:val="auto"/>
          <w:sz w:val="40"/>
          <w:szCs w:val="40"/>
          <w:highlight w:val="none"/>
        </w:rPr>
      </w:pPr>
    </w:p>
    <w:p>
      <w:pPr>
        <w:pStyle w:val="5"/>
        <w:spacing w:line="360" w:lineRule="auto"/>
        <w:rPr>
          <w:rFonts w:ascii="楷体_GB2312" w:eastAsia="楷体_GB2312"/>
          <w:b/>
          <w:color w:val="auto"/>
          <w:sz w:val="40"/>
          <w:szCs w:val="40"/>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color w:val="auto"/>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5"/>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3"/>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rPr>
          <w:color w:val="auto"/>
          <w:highlight w:val="none"/>
        </w:rPr>
      </w:pPr>
      <w:r>
        <w:rPr>
          <w:color w:val="auto"/>
          <w:highlight w:val="none"/>
        </w:rPr>
        <w:br w:type="page"/>
      </w:r>
    </w:p>
    <w:p>
      <w:pPr>
        <w:pStyle w:val="10"/>
        <w:spacing w:line="360" w:lineRule="auto"/>
        <w:rPr>
          <w:color w:val="auto"/>
          <w:highlight w:val="none"/>
        </w:rPr>
      </w:pPr>
    </w:p>
    <w:p>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5"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pPr>
        <w:pStyle w:val="3"/>
        <w:spacing w:line="360" w:lineRule="auto"/>
        <w:rPr>
          <w:color w:val="auto"/>
          <w:sz w:val="24"/>
          <w:szCs w:val="24"/>
          <w:highlight w:val="none"/>
        </w:rPr>
      </w:pPr>
      <w:r>
        <w:rPr>
          <w:rFonts w:hint="eastAsia"/>
          <w:color w:val="auto"/>
          <w:sz w:val="24"/>
          <w:szCs w:val="24"/>
          <w:highlight w:val="none"/>
        </w:rPr>
        <w:t xml:space="preserve">项目编号：    </w:t>
      </w:r>
    </w:p>
    <w:p>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854"/>
        <w:gridCol w:w="2121"/>
        <w:gridCol w:w="1382"/>
        <w:gridCol w:w="1733"/>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29"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694"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0"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94"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29"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4" w:type="pct"/>
            <w:vAlign w:val="center"/>
          </w:tcPr>
          <w:p>
            <w:pPr>
              <w:snapToGrid w:val="0"/>
              <w:spacing w:line="360" w:lineRule="auto"/>
              <w:jc w:val="center"/>
              <w:rPr>
                <w:rFonts w:ascii="宋体" w:hAnsi="宋体"/>
                <w:color w:val="auto"/>
                <w:sz w:val="24"/>
                <w:highlight w:val="none"/>
              </w:rPr>
            </w:pPr>
          </w:p>
        </w:tc>
        <w:tc>
          <w:tcPr>
            <w:tcW w:w="870" w:type="pct"/>
            <w:vAlign w:val="center"/>
          </w:tcPr>
          <w:p>
            <w:pPr>
              <w:snapToGrid w:val="0"/>
              <w:spacing w:line="360" w:lineRule="auto"/>
              <w:jc w:val="center"/>
              <w:rPr>
                <w:rFonts w:ascii="宋体" w:hAnsi="宋体" w:cs="宋体"/>
                <w:color w:val="auto"/>
                <w:kern w:val="0"/>
                <w:sz w:val="24"/>
                <w:highlight w:val="none"/>
              </w:rPr>
            </w:pPr>
          </w:p>
        </w:tc>
        <w:tc>
          <w:tcPr>
            <w:tcW w:w="1494"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29"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4" w:type="pct"/>
            <w:vAlign w:val="center"/>
          </w:tcPr>
          <w:p>
            <w:pPr>
              <w:snapToGrid w:val="0"/>
              <w:spacing w:line="360" w:lineRule="auto"/>
              <w:jc w:val="center"/>
              <w:rPr>
                <w:rFonts w:ascii="宋体" w:hAnsi="宋体"/>
                <w:color w:val="auto"/>
                <w:sz w:val="24"/>
                <w:highlight w:val="none"/>
              </w:rPr>
            </w:pPr>
          </w:p>
        </w:tc>
        <w:tc>
          <w:tcPr>
            <w:tcW w:w="870" w:type="pct"/>
            <w:vAlign w:val="center"/>
          </w:tcPr>
          <w:p>
            <w:pPr>
              <w:snapToGrid w:val="0"/>
              <w:spacing w:line="360" w:lineRule="auto"/>
              <w:jc w:val="center"/>
              <w:rPr>
                <w:rFonts w:ascii="宋体" w:hAnsi="宋体" w:cs="宋体"/>
                <w:color w:val="auto"/>
                <w:kern w:val="0"/>
                <w:sz w:val="24"/>
                <w:highlight w:val="none"/>
              </w:rPr>
            </w:pPr>
          </w:p>
        </w:tc>
        <w:tc>
          <w:tcPr>
            <w:tcW w:w="1494"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29" w:type="pct"/>
            <w:vAlign w:val="center"/>
          </w:tcPr>
          <w:p>
            <w:pPr>
              <w:snapToGrid w:val="0"/>
              <w:spacing w:line="360" w:lineRule="auto"/>
              <w:jc w:val="center"/>
              <w:rPr>
                <w:rFonts w:ascii="宋体" w:hAnsi="宋体"/>
                <w:color w:val="auto"/>
                <w:sz w:val="24"/>
                <w:highlight w:val="none"/>
              </w:rPr>
            </w:pPr>
          </w:p>
        </w:tc>
        <w:tc>
          <w:tcPr>
            <w:tcW w:w="1065" w:type="pct"/>
            <w:vAlign w:val="center"/>
          </w:tcPr>
          <w:p>
            <w:pPr>
              <w:snapToGrid w:val="0"/>
              <w:spacing w:line="360" w:lineRule="auto"/>
              <w:jc w:val="center"/>
              <w:rPr>
                <w:rFonts w:ascii="宋体" w:hAnsi="宋体"/>
                <w:color w:val="auto"/>
                <w:sz w:val="24"/>
                <w:highlight w:val="none"/>
              </w:rPr>
            </w:pPr>
          </w:p>
        </w:tc>
        <w:tc>
          <w:tcPr>
            <w:tcW w:w="694" w:type="pct"/>
            <w:vAlign w:val="center"/>
          </w:tcPr>
          <w:p>
            <w:pPr>
              <w:snapToGrid w:val="0"/>
              <w:spacing w:line="360" w:lineRule="auto"/>
              <w:jc w:val="center"/>
              <w:rPr>
                <w:rFonts w:ascii="宋体" w:hAnsi="宋体"/>
                <w:color w:val="auto"/>
                <w:sz w:val="24"/>
                <w:highlight w:val="none"/>
              </w:rPr>
            </w:pPr>
          </w:p>
        </w:tc>
        <w:tc>
          <w:tcPr>
            <w:tcW w:w="870" w:type="pct"/>
            <w:vAlign w:val="center"/>
          </w:tcPr>
          <w:p>
            <w:pPr>
              <w:snapToGrid w:val="0"/>
              <w:spacing w:line="360" w:lineRule="auto"/>
              <w:jc w:val="center"/>
              <w:rPr>
                <w:rFonts w:ascii="宋体" w:hAnsi="宋体" w:cs="宋体"/>
                <w:color w:val="auto"/>
                <w:kern w:val="0"/>
                <w:sz w:val="24"/>
                <w:highlight w:val="none"/>
              </w:rPr>
            </w:pPr>
          </w:p>
        </w:tc>
        <w:tc>
          <w:tcPr>
            <w:tcW w:w="1494" w:type="pct"/>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r>
              <w:rPr>
                <w:rFonts w:hint="eastAsia" w:ascii="宋体" w:hAnsi="宋体"/>
                <w:color w:val="auto"/>
                <w:sz w:val="24"/>
                <w:highlight w:val="none"/>
                <w:lang w:val="en-US" w:eastAsia="zh-CN"/>
              </w:rPr>
              <w:t xml:space="preserve">     </w:t>
            </w: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E3AD4"/>
    <w:rsid w:val="00176057"/>
    <w:rsid w:val="002B52A0"/>
    <w:rsid w:val="002F36E5"/>
    <w:rsid w:val="003917ED"/>
    <w:rsid w:val="003B3428"/>
    <w:rsid w:val="004C72FC"/>
    <w:rsid w:val="00564FBE"/>
    <w:rsid w:val="009335BC"/>
    <w:rsid w:val="00A623CB"/>
    <w:rsid w:val="00AB6FAA"/>
    <w:rsid w:val="00B16B83"/>
    <w:rsid w:val="00CD7ACC"/>
    <w:rsid w:val="00E86791"/>
    <w:rsid w:val="00FA6A9F"/>
    <w:rsid w:val="02D80DA0"/>
    <w:rsid w:val="02E83F45"/>
    <w:rsid w:val="04C40DE2"/>
    <w:rsid w:val="04EF4758"/>
    <w:rsid w:val="0686229E"/>
    <w:rsid w:val="071B4393"/>
    <w:rsid w:val="07A3620E"/>
    <w:rsid w:val="0B783442"/>
    <w:rsid w:val="0F1D0A28"/>
    <w:rsid w:val="11670892"/>
    <w:rsid w:val="15C44885"/>
    <w:rsid w:val="1B252AB1"/>
    <w:rsid w:val="1E897F61"/>
    <w:rsid w:val="26340146"/>
    <w:rsid w:val="27C42B43"/>
    <w:rsid w:val="28847CD2"/>
    <w:rsid w:val="28AD5641"/>
    <w:rsid w:val="28EB517F"/>
    <w:rsid w:val="29181EA6"/>
    <w:rsid w:val="2A2D3EB3"/>
    <w:rsid w:val="2CBC4D0E"/>
    <w:rsid w:val="2EFC6C91"/>
    <w:rsid w:val="31CE533B"/>
    <w:rsid w:val="320F1026"/>
    <w:rsid w:val="32150335"/>
    <w:rsid w:val="33747367"/>
    <w:rsid w:val="356E442A"/>
    <w:rsid w:val="35ED2D88"/>
    <w:rsid w:val="35FF6EA7"/>
    <w:rsid w:val="38D36E0B"/>
    <w:rsid w:val="399D77AD"/>
    <w:rsid w:val="3C3825DD"/>
    <w:rsid w:val="3E135735"/>
    <w:rsid w:val="3E5E6414"/>
    <w:rsid w:val="3E795988"/>
    <w:rsid w:val="3ECF7D0B"/>
    <w:rsid w:val="40DC4524"/>
    <w:rsid w:val="435B2651"/>
    <w:rsid w:val="44217269"/>
    <w:rsid w:val="44A73530"/>
    <w:rsid w:val="47C80021"/>
    <w:rsid w:val="4AE30836"/>
    <w:rsid w:val="4C2F3681"/>
    <w:rsid w:val="4C7B3E93"/>
    <w:rsid w:val="4CE2174D"/>
    <w:rsid w:val="52ED7BC1"/>
    <w:rsid w:val="533C3AAA"/>
    <w:rsid w:val="55657E70"/>
    <w:rsid w:val="56A046B9"/>
    <w:rsid w:val="592F4BEA"/>
    <w:rsid w:val="5954056B"/>
    <w:rsid w:val="5CA96D95"/>
    <w:rsid w:val="5DBF39CE"/>
    <w:rsid w:val="663051CA"/>
    <w:rsid w:val="66DD6AB6"/>
    <w:rsid w:val="67F554D5"/>
    <w:rsid w:val="6831460C"/>
    <w:rsid w:val="68941178"/>
    <w:rsid w:val="6A3008DC"/>
    <w:rsid w:val="6A815DAC"/>
    <w:rsid w:val="700321E5"/>
    <w:rsid w:val="722809D5"/>
    <w:rsid w:val="73426E54"/>
    <w:rsid w:val="747A3E60"/>
    <w:rsid w:val="76A82938"/>
    <w:rsid w:val="78B32CA3"/>
    <w:rsid w:val="7D1E08C8"/>
    <w:rsid w:val="7D471CD6"/>
    <w:rsid w:val="7E755EB7"/>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style>
  <w:style w:type="paragraph" w:styleId="8">
    <w:name w:val="Body Text First Indent"/>
    <w:basedOn w:val="7"/>
    <w:autoRedefine/>
    <w:qFormat/>
    <w:uiPriority w:val="0"/>
    <w:pPr>
      <w:ind w:firstLine="420" w:firstLineChars="100"/>
    </w:pPr>
    <w:rPr>
      <w:rFonts w:ascii="Times New Roman" w:hAnsi="Times New Roman"/>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表格文字"/>
    <w:basedOn w:val="1"/>
    <w:next w:val="7"/>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2437</Words>
  <Characters>13896</Characters>
  <Lines>115</Lines>
  <Paragraphs>32</Paragraphs>
  <TotalTime>33</TotalTime>
  <ScaleCrop>false</ScaleCrop>
  <LinksUpToDate>false</LinksUpToDate>
  <CharactersWithSpaces>16301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2024-05-20T07:46:58Z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525848B6944946FF9965AE24E04FE302_13</vt:lpwstr>
  </property>
</Properties>
</file>